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RELATÓRIO EXECUTIVO</w:t>
      </w:r>
    </w:p>
    <w:p>
      <w:pPr>
        <w:spacing w:after="40"/>
      </w:pPr>
      <w:r>
        <w:rPr>
          <w:color w:val="595959"/>
          <w:sz w:val="26"/>
          <w:szCs w:val="26"/>
        </w:rPr>
        <w:t xml:space="preserve">Gestão de Média de Combustível — Frota ROTA Transportes / Itabuna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Boletim de telemetria: 08/09/2026 a 14/09/2026</w:t>
      </w:r>
    </w:p>
    <w:p>
      <w:pPr>
        <w:pStyle w:val="Heading1"/>
        <w:spacing w:after="160" w:before="320"/>
      </w:pPr>
      <w:r>
        <w:t xml:space="preserve">1. Contexto e escopo</w:t>
      </w:r>
    </w:p>
    <w:p>
      <w:pPr>
        <w:spacing w:after="140"/>
      </w:pPr>
      <w:r>
        <w:t xml:space="preserve">Este relatório analisa o boletim diário de telemetria (média de consumo, distância percorrida e consumo em litros) dos veículos da frota ROTA Transportes em Itabuna, no período de 08/09/2026 a 14/09/2026, cruzado com o cadastro oficial de frota (Base_Frota).</w:t>
      </w:r>
    </w:p>
    <w:p>
      <w:pPr>
        <w:spacing w:after="60"/>
      </w:pPr>
      <w:r>
        <w:rPr>
          <w:b/>
          <w:bCs/>
        </w:rPr>
        <w:t xml:space="preserve">Veículos cadastrados na Base_Frota:  </w:t>
      </w:r>
      <w:r>
        <w:t xml:space="preserve">89</w:t>
      </w:r>
    </w:p>
    <w:p>
      <w:pPr>
        <w:spacing w:after="60"/>
      </w:pPr>
      <w:r>
        <w:rPr>
          <w:b/>
          <w:bCs/>
        </w:rPr>
        <w:t xml:space="preserve">Veículos válidos com registro no boletim no período:  </w:t>
      </w:r>
      <w:r>
        <w:t xml:space="preserve">79</w:t>
      </w:r>
    </w:p>
    <w:p>
      <w:pPr>
        <w:spacing w:after="60"/>
      </w:pPr>
      <w:r>
        <w:rPr>
          <w:b/>
          <w:bCs/>
        </w:rPr>
        <w:t xml:space="preserve">Veículos válidos SEM nenhum registro no boletim:  </w:t>
      </w:r>
      <w:r>
        <w:t xml:space="preserve">10</w:t>
      </w:r>
    </w:p>
    <w:p>
      <w:pPr>
        <w:spacing w:after="60"/>
      </w:pPr>
      <w:r>
        <w:rPr>
          <w:b/>
          <w:bCs/>
        </w:rPr>
        <w:t xml:space="preserve">Registros do boletim fora do cadastro (excluídos da análise):  </w:t>
      </w:r>
      <w:r>
        <w:t xml:space="preserve">192</w:t>
      </w:r>
    </w:p>
    <w:p>
      <w:pPr>
        <w:spacing w:after="140"/>
      </w:pPr>
      <w:r>
        <w:rPr>
          <w:color w:val="C00000"/>
        </w:rPr>
        <w:t xml:space="preserve">O cadastro de frota (Base_Frota) cobre hoje apenas 29% dos 271 veículos que efetivamente circularam sob a operação "ROTA Transportes - Itabuna" na semana — os demais 192 não constam no cadastro oficial e foram preservados numa aba própria (Excluídos), fora da análise principal, sem descartar seus registros originais.</w:t>
      </w:r>
    </w:p>
    <w:p>
      <w:pPr>
        <w:pStyle w:val="Heading1"/>
        <w:spacing w:after="160" w:before="320"/>
      </w:pPr>
      <w:r>
        <w:t xml:space="preserve">2. Indicadores de gestão no período</w:t>
      </w:r>
    </w:p>
    <w:p>
      <w:pPr>
        <w:spacing w:after="140"/>
      </w:pPr>
      <w:r>
        <w:t xml:space="preserve">Km/L calculado sempre por (km totais ÷ litros totais) dos dias em que a telemetria efetivamente reportou consumo — nunca pela média simples das médias diárias, conforme metodologia solicitada.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000"/>
        <w:gridCol w:w="3000"/>
      </w:tblGrid>
      <w:tr>
        <w:tc>
          <w:tcPr>
            <w:tcW w:type="dxa" w:w="33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Km rodados (dias com reporte)</w:t>
            </w:r>
          </w:p>
        </w:tc>
        <w:tc>
          <w:tcPr>
            <w:tcW w:type="dxa" w:w="30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Litros consumidos</w:t>
            </w:r>
          </w:p>
        </w:tc>
        <w:tc>
          <w:tcPr>
            <w:tcW w:type="dxa" w:w="30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Km/L real da frota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88.056 km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29.872 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2,95 km/L</w:t>
            </w:r>
          </w:p>
        </w:tc>
      </w:tr>
      <w:tr>
        <w:tc>
          <w:tcPr>
            <w:tcW w:type="dxa" w:w="33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 total no período (ref.)</w:t>
            </w:r>
          </w:p>
        </w:tc>
        <w:tc>
          <w:tcPr>
            <w:tcW w:type="dxa" w:w="30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Economia potencial (litros)</w:t>
            </w:r>
          </w:p>
        </w:tc>
        <w:tc>
          <w:tcPr>
            <w:tcW w:type="dxa" w:w="30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Economia potencial (R$)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R$ 179.232,72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6B0B"/>
                <w:sz w:val="24"/>
                <w:szCs w:val="24"/>
              </w:rPr>
              <w:t xml:space="preserve">2.478 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6B0B"/>
                <w:sz w:val="24"/>
                <w:szCs w:val="24"/>
              </w:rPr>
              <w:t xml:space="preserve">R$ 14.866,20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Preço do diesel usado nos cálculos de custo e economia: R$ 6,00/L — valor de referência, pois a base de telemetria não informa o preço efetivamente pago. Ajustar na planilha (aba Metas) pelo preço real do período.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Meta de km/L: sugestão inicial calculada como a mediana de km/L do próprio grupo Modelo (Fabricante) × Unidade Operacional nesta semana — não é uma meta corporativa oficial, e deve ser substituída quando a empresa definir seus próprios parâmetros.</w:t>
      </w:r>
    </w:p>
    <w:p>
      <w:pPr>
        <w:pStyle w:val="Heading1"/>
        <w:spacing w:after="160" w:before="320"/>
      </w:pPr>
      <w:r>
        <w:t xml:space="preserve">3. Continuidade do reporte de telemetria (auditoria de dados)</w:t>
      </w:r>
    </w:p>
    <w:p>
      <w:pPr>
        <w:spacing w:after="140"/>
      </w:pPr>
      <w:r>
        <w:t xml:space="preserve">Cada veículo válido foi classificado pela sequência cronológica de reportes de média (numérico = telemetria comunicou; "-" = telemetria não importou o dado naquele registro; zero também conta como reporte).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2000"/>
        <w:gridCol w:w="3000"/>
      </w:tblGrid>
      <w:tr>
        <w:trPr>
          <w:tblHeader/>
        </w:trPr>
        <w:tc>
          <w:tcPr>
            <w:tcW w:type="dxa" w:w="4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Veículos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da frota válida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Deixou de reportar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5.1%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Reporte contínuo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65.8%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Reporte retomado / aparente correção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15.2%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reporte em todo o período observado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12.7%</w:t>
            </w:r>
          </w:p>
        </w:tc>
      </w:tr>
      <w:tr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Intermitente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1.3%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Achados principais: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veículo(s) reportaram normalmente e pararam de comunicar a média, permanecendo sem reporte até o fim do período — prioridade máxima de verificação (possível falha de telemetria em curso).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veículo(s) não reportaram nenhuma média numérica na semana inteira, apesar de rodarem — alguns percorreram mais de 2.000 km sem qualquer dado de consumo capturado.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 veículo(s) apresentaram uma interrupção pontual (1 dia) seguida de retomada — indício de correção, sem confirmação de manutenção registrada nesta 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veículo apresentou múltiplas interrupções e retomadas na mesma semana, padrão que merece investigação de estabilidade do equipamento de telemetria.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registro(s) apresentaram inconsistência de hodômetro (variação incompatível com a distância percorrida no dia) e 7 registros trazem a placa ilegível/corrompida no arquivo de origem (mesmo veículo, prefixo R7085) — ambos sinalizados, não corrigidos automaticamente.</w:t>
      </w:r>
    </w:p>
    <w:p>
      <w:pPr>
        <w:pStyle w:val="Heading1"/>
        <w:spacing w:after="160" w:before="320"/>
      </w:pPr>
      <w:r>
        <w:t xml:space="preserve">4. Veículos prioritários para investigação</w:t>
      </w:r>
    </w:p>
    <w:p>
      <w:pPr>
        <w:spacing w:after="140"/>
      </w:pPr>
      <w:r>
        <w:t xml:space="preserve">Ordenados por classificação de risco (sem reporte no fim do período primeiro) e por quilometragem rodada sem dado de consumo: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1500"/>
        <w:gridCol w:w="165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Prefixo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Placa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Km sem reporte</w:t>
            </w:r>
          </w:p>
        </w:tc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Último registro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R10175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OZG5113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Deixou de reportar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 km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R10185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OZG6088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Deixou de reportar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 km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R7545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OZT9896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Deixou de reportar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 km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R7555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OZT8368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Deixou de reportar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 km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R7565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OZT0656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Sem reporte em todo o período observado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2.893,8 km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R6815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NZO9187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Sem reporte em todo o período observado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2.397,5 km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R6965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OUK7363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Sem reporte em todo o período observado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1.677,9 km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R7745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PKN8524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Sem reporte em todo o período observado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1.233,8 km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2026-09-14</w:t>
            </w:r>
          </w:p>
        </w:tc>
      </w:tr>
    </w:tbl>
    <w:p>
      <w:pPr>
        <w:pStyle w:val="Heading1"/>
        <w:spacing w:after="160" w:before="320"/>
      </w:pPr>
      <w:r>
        <w:t xml:space="preserve">5. Achado destacado — consumo sem quilometragem</w:t>
      </w:r>
    </w:p>
    <w:p>
      <w:pPr>
        <w:spacing w:after="140"/>
      </w:pPr>
      <w:r>
        <w:rPr>
          <w:color w:val="C00000"/>
        </w:rPr>
        <w:t xml:space="preserve">O veículo R7045 / OUO0218 reportou média "0,00 Km/L" e distância "0,00 km" em todos os 7 dias do período, mas a telemetria registrou 856,5 litros de consumo na semana. Isso é fisicamente incompatível com um veículo parado o tempo todo e sugere falha do sensor de distância/GPS, ou consumo real de uma operação não capturada pelo hodômetro (ex.: geração auxiliar). Não foi atribuída causa mecânica nem responsabilidade a motorista — recomenda-se verificação em campo antes de qualquer ação.</w:t>
      </w:r>
    </w:p>
    <w:p>
      <w:pPr>
        <w:pStyle w:val="Heading1"/>
        <w:spacing w:after="160" w:before="320"/>
      </w:pPr>
      <w:r>
        <w:t xml:space="preserve">6. Recomendações e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Atualizar a Base_Frota para cobrir os 192 veículos identificados fora do cadastro oficial (ou confirmar formalmente que não pertencem à frota administrada) — sem isso, ~71% da operação real fica fora de qualquer gestão de eficiência.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Verificar em campo, com prioridade, os veículos que "deixaram de reportar" e os que rodaram mais de 1.000 km sem nenhum reporte de consumo na semana (lista da seção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a placa correta do prefixo R7085 (registro corrompido em ambas as abas) e investigar a divergência de placas do prefixo R6755 (NZO2423 e NZO4525 na mesma semana).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Inspecionar o sensor de distância/hodômetro do veículo R7045 (ou equivalente) antes de considerar a média "0,00 Km/L" como rendimento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e inserir a meta oficial de km/L por modelo/operação e o preço real do diesel na aba Metas da planilha, substituindo os valores de referência.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Repetir esta análise a cada boletim semanal para acompanhar tendência, medir efeito de ações corretivas e manter o painel e a planilha atualizados (ver instruções de atualização no Excel, aba Painel).</w:t>
      </w:r>
    </w:p>
    <w:p>
      <w:pPr>
        <w:pStyle w:val="Heading1"/>
        <w:spacing w:after="160" w:before="320"/>
      </w:pPr>
      <w:r>
        <w:t xml:space="preserve">7. Limitações desta análise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Economia potencial é sempre uma estimativa (baseada em meta sugerida e preço de referência), nunca um resultado garantido.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Dias sem linha no boletim não foram tratados como interrupção de comunicação — apenas os dias efetivamente registrados foram avaliados.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causa mecânica ou responsabilidade de motorista foi atribuída; todos os achados descrevem padrões de dados que requerem verificação em campo.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base cobre apenas uma semana; tendências e recorrência devem ser confirmadas com séries mais longas.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Documento gerado por auditoria de dados — não substitui validação operacional em campo.  Página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ROTA Transportes — Itabuna | Gestão de Média de Combustível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2026-09-16T19:30:26.019Z</dcterms:created>
  <dcterms:modified xsi:type="dcterms:W3CDTF">2026-09-16T19:30:26.019Z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