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ISAE 3000 TYPE II ASSURANCE REPORT: FERNHILL CARBON DATA LTD.</w:t>
      </w:r>
    </w:p>
    <w:p>
      <w:r>
        <w:rPr>
          <w:i/>
        </w:rPr>
        <w:t>Independent Reasonable Assurance Report on the Controls Over the Greenhouse Gas Emissions Data Service</w:t>
      </w:r>
    </w:p>
    <w:p>
      <w:r>
        <w:rPr>
          <w:b/>
        </w:rPr>
        <w:t xml:space="preserve">Service Organization: </w:t>
      </w:r>
      <w:r>
        <w:t>Fernhill Carbon Data Ltd. (Leeds, United Kingdom)</w:t>
      </w:r>
    </w:p>
    <w:p>
      <w:r>
        <w:rPr>
          <w:b/>
        </w:rPr>
        <w:t xml:space="preserve">System Assessed: </w:t>
      </w:r>
      <w:r>
        <w:t>Fernhill Scope 1, 2 and 3 Emissions Reporting Service</w:t>
      </w:r>
    </w:p>
    <w:p>
      <w:r>
        <w:rPr>
          <w:b/>
        </w:rPr>
        <w:t xml:space="preserve">Independent Service Auditor: </w:t>
      </w:r>
      <w:r>
        <w:t>Ashgrove Assurance Ltd</w:t>
      </w:r>
    </w:p>
    <w:p>
      <w:r>
        <w:rPr>
          <w:b/>
        </w:rPr>
        <w:t xml:space="preserve">Review Period: </w:t>
      </w:r>
      <w:r>
        <w:t>January 1, 2025 to December 31, 2025</w:t>
      </w:r>
    </w:p>
    <w:p>
      <w:pPr>
        <w:pStyle w:val="Heading1"/>
      </w:pPr>
      <w:r>
        <w:t>SECTION I: INDEPENDENT SERVICE AUDITOR'S REPORT</w:t>
      </w:r>
    </w:p>
    <w:p>
      <w:r>
        <w:t>To the Board of Directors of Fernhill Carbon Data Ltd.:</w:t>
      </w:r>
    </w:p>
    <w:p>
      <w:pPr>
        <w:pStyle w:val="Heading2"/>
      </w:pPr>
      <w:r>
        <w:t>Scope</w:t>
      </w:r>
    </w:p>
    <w:p>
      <w:r>
        <w:t>We have examined Fernhill Carbon Data Ltd.'s ("Fernhill") description of its Fernhill Scope 1, 2 and 3 Emissions Reporting Service throughout the period January 1, 2025 to December 31, 2025 (the description), and the suitability of the design and the operating effectiveness of those controls to achieve the related control objectives stated in the description.</w:t>
      </w:r>
    </w:p>
    <w:p>
      <w:pPr>
        <w:pStyle w:val="Heading2"/>
      </w:pPr>
      <w:r>
        <w:t>Service Auditor's Responsibilities</w:t>
      </w:r>
    </w:p>
    <w:p>
      <w:r>
        <w:t>We conducted our engagement in accordance with International Standard on Assurance Engagements ISAE 3000 (Revised), Assurance Engagements Other than Audits or Reviews of Historical Financial Information, and, for the emissions data, ISAE 3410, Assurance Engagements on Greenhouse Gas Statements.</w:t>
      </w:r>
    </w:p>
    <w:p>
      <w:pPr>
        <w:pStyle w:val="Heading2"/>
      </w:pPr>
      <w:r>
        <w:t>Opinion</w:t>
      </w:r>
    </w:p>
    <w:p>
      <w:r>
        <w:t>In our opinion, in all material respects:</w:t>
      </w:r>
    </w:p>
    <w:p>
      <w:pPr>
        <w:pStyle w:val="ListBullet"/>
      </w:pPr>
      <w:r>
        <w:t>The description fairly presents the Fernhill Scope 1, 2 and 3 Emissions Reporting Service as designed and implemented throughout the period January 1, 2025 to December 31, 2025.</w:t>
      </w:r>
    </w:p>
    <w:p>
      <w:pPr>
        <w:pStyle w:val="ListBullet"/>
      </w:pPr>
      <w:r>
        <w:t>The controls stated in the description were suitably designed and operated effectively to provide reasonable assurance that the control objectives would be achieved throughout the period January 1, 2025 to December 31, 2025.</w:t>
      </w:r>
    </w:p>
    <w:p>
      <w:r>
        <w:rPr>
          <w:b/>
        </w:rPr>
        <w:t>Ashgrove Assurance Ltd</w:t>
      </w:r>
      <w:r>
        <w:br/>
        <w:t>Manchester, United Kingdom</w:t>
        <w:br/>
        <w:t>March 12, 2026</w:t>
      </w:r>
    </w:p>
    <w:p>
      <w:pPr>
        <w:pStyle w:val="Heading1"/>
      </w:pPr>
      <w:r>
        <w:t>SECTION II: MANAGEMENT'S ASSERTION</w:t>
      </w:r>
    </w:p>
    <w:p>
      <w:r>
        <w:t>Fernhill Carbon Data Ltd. asserts that the accompanying description fairly presents the Fernhill Scope 1, 2 and 3 Emissions Reporting Service throughout the period January 1, 2025 to December 31, 2025 and that the controls stated in the description were suitably designed and operated effectively.</w:t>
      </w:r>
    </w:p>
    <w:p>
      <w:r>
        <w:t>Signed on behalf of Fernhill Carbon Data Ltd.: Chief Executive Officer; Chief Financial Officer</w:t>
      </w:r>
    </w:p>
    <w:p>
      <w:pPr>
        <w:pStyle w:val="Heading1"/>
      </w:pPr>
      <w:r>
        <w:t>SECTION III: SYSTEM DESCRIPTION</w:t>
      </w:r>
    </w:p>
    <w:p>
      <w:r>
        <w:t>Fernhill collects energy, travel and procurement data from its clients, applies published emission factors and produces quarterly greenhouse gas statements for each client.</w:t>
      </w:r>
    </w:p>
    <w:p>
      <w:r>
        <w:rPr>
          <w:b/>
        </w:rPr>
        <w:t>Control objectives evaluated:</w:t>
      </w:r>
    </w:p>
    <w:p>
      <w:pPr>
        <w:pStyle w:val="ListBullet"/>
      </w:pPr>
      <w:r>
        <w:t>CO-1 (Data Completeness): Controls ensure that all activity data received is loaded and processed.</w:t>
      </w:r>
    </w:p>
    <w:p>
      <w:pPr>
        <w:pStyle w:val="ListBullet"/>
      </w:pPr>
      <w:r>
        <w:t>CO-2 (Emission Factors): Controls ensure that emission factors are current and approved.</w:t>
      </w:r>
    </w:p>
    <w:p>
      <w:r>
        <w:rPr>
          <w:b/>
        </w:rPr>
        <w:t>Complementary user entity controls:</w:t>
      </w:r>
    </w:p>
    <w:p>
      <w:pPr>
        <w:pStyle w:val="ListBullet"/>
      </w:pPr>
      <w:r>
        <w:t>Client entities confirm that the activity data they submit is complete for each quarter.</w:t>
      </w:r>
    </w:p>
    <w:p>
      <w:pPr>
        <w:pStyle w:val="Heading1"/>
      </w:pPr>
      <w:r>
        <w:t>SECTION IV: CONTROLS, TESTS AND RESULTS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Control</w:t>
            </w:r>
          </w:p>
        </w:tc>
        <w:tc>
          <w:tcPr>
            <w:tcW w:type="dxa" w:w="2160"/>
          </w:tcPr>
          <w:p>
            <w:r/>
            <w:r>
              <w:rPr>
                <w:b/>
              </w:rPr>
              <w:t>Control description</w:t>
            </w:r>
          </w:p>
        </w:tc>
        <w:tc>
          <w:tcPr>
            <w:tcW w:type="dxa" w:w="2160"/>
          </w:tcPr>
          <w:p>
            <w:r/>
            <w:r>
              <w:rPr>
                <w:b/>
              </w:rPr>
              <w:t>Test performed</w:t>
            </w:r>
          </w:p>
        </w:tc>
        <w:tc>
          <w:tcPr>
            <w:tcW w:type="dxa" w:w="2160"/>
          </w:tcPr>
          <w:p>
            <w:r/>
            <w:r>
              <w:rPr>
                <w:b/>
              </w:rPr>
              <w:t>Result</w:t>
            </w:r>
          </w:p>
        </w:tc>
      </w:tr>
      <w:tr>
        <w:tc>
          <w:tcPr>
            <w:tcW w:type="dxa" w:w="2160"/>
          </w:tcPr>
          <w:p>
            <w:r>
              <w:t>FCD-02</w:t>
            </w:r>
          </w:p>
        </w:tc>
        <w:tc>
          <w:tcPr>
            <w:tcW w:type="dxa" w:w="2160"/>
          </w:tcPr>
          <w:p>
            <w:r>
              <w:t>Record counts are reconciled between the client upload and the processing database.</w:t>
            </w:r>
          </w:p>
        </w:tc>
        <w:tc>
          <w:tcPr>
            <w:tcW w:type="dxa" w:w="2160"/>
          </w:tcPr>
          <w:p>
            <w:r>
              <w:t>Re-performed the reconciliation for a sample of 20 uploads.</w:t>
            </w:r>
          </w:p>
        </w:tc>
        <w:tc>
          <w:tcPr>
            <w:tcW w:type="dxa" w:w="2160"/>
          </w:tcPr>
          <w:p>
            <w:r>
              <w:t>No exceptions noted.</w:t>
            </w:r>
          </w:p>
        </w:tc>
      </w:tr>
      <w:tr>
        <w:tc>
          <w:tcPr>
            <w:tcW w:type="dxa" w:w="2160"/>
          </w:tcPr>
          <w:p>
            <w:r>
              <w:t>FCD-05</w:t>
            </w:r>
          </w:p>
        </w:tc>
        <w:tc>
          <w:tcPr>
            <w:tcW w:type="dxa" w:w="2160"/>
          </w:tcPr>
          <w:p>
            <w:r>
              <w:t>Emission factor tables are updated by an analyst and approved by the methodology lead.</w:t>
            </w:r>
          </w:p>
        </w:tc>
        <w:tc>
          <w:tcPr>
            <w:tcW w:type="dxa" w:w="2160"/>
          </w:tcPr>
          <w:p>
            <w:r>
              <w:t>Inspected the approval records of the three factor updates in the period.</w:t>
            </w:r>
          </w:p>
        </w:tc>
        <w:tc>
          <w:tcPr>
            <w:tcW w:type="dxa" w:w="2160"/>
          </w:tcPr>
          <w:p>
            <w:r>
              <w:t>No exceptions noted.</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Sample document generated for a demo. All names are fictitious.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ISAE 3000 TYPE II ASSURANCE REPORT: FERNHILL CARBON DATA LTD.</dc:title>
  <dc:subject/>
  <dc:creator>Sample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