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1 TYPE I REPORT: TIDEWATER CLEARING CORP.</w:t>
      </w:r>
    </w:p>
    <w:p>
      <w:r>
        <w:rPr>
          <w:i/>
        </w:rPr>
        <w:t>Report on Tidewater Clearing Corp.'s Description of Its Trade Settlement System and on the Suitability of the Design of Its Controls</w:t>
      </w:r>
    </w:p>
    <w:p>
      <w:r>
        <w:rPr>
          <w:b/>
        </w:rPr>
        <w:t xml:space="preserve">Service Organization: </w:t>
      </w:r>
      <w:r>
        <w:t>Tidewater Clearing Corp. (Charlotte, North Carolina)</w:t>
      </w:r>
    </w:p>
    <w:p>
      <w:r>
        <w:rPr>
          <w:b/>
        </w:rPr>
        <w:t xml:space="preserve">System Assessed: </w:t>
      </w:r>
      <w:r>
        <w:t>Tidewater Securities Settlement and Custody Platform</w:t>
      </w:r>
    </w:p>
    <w:p>
      <w:r>
        <w:rPr>
          <w:b/>
        </w:rPr>
        <w:t xml:space="preserve">Independent Service Auditor: </w:t>
      </w:r>
      <w:r>
        <w:t>Marlow Kent Audit Partners LLP</w:t>
      </w:r>
    </w:p>
    <w:p>
      <w:r>
        <w:rPr>
          <w:b/>
        </w:rPr>
        <w:t xml:space="preserve">Evaluation Date: </w:t>
      </w:r>
      <w:r>
        <w:t>As of March 31, 2026</w:t>
      </w:r>
    </w:p>
    <w:p>
      <w:pPr>
        <w:pStyle w:val="Heading1"/>
      </w:pPr>
      <w:r>
        <w:t>SECTION I: INDEPENDENT SERVICE AUDITOR'S REPORT</w:t>
      </w:r>
    </w:p>
    <w:p>
      <w:r>
        <w:t>To the Board of Directors of Tidewater Clearing Corp.:</w:t>
      </w:r>
    </w:p>
    <w:p>
      <w:pPr>
        <w:pStyle w:val="Heading2"/>
      </w:pPr>
      <w:r>
        <w:t>Scope</w:t>
      </w:r>
    </w:p>
    <w:p>
      <w:r>
        <w:t>We have examined Tidewater Clearing Corp.'s ("Tidewater") description of its Tidewater Securities Settlement and Custody Platform as of March 31, 2026 (the description), and the suitability of the design to achieve the related control objectives stated in the description.</w:t>
      </w:r>
    </w:p>
    <w:p>
      <w:pPr>
        <w:pStyle w:val="Heading2"/>
      </w:pPr>
      <w:r>
        <w:t>Service Auditor's Responsibilities</w:t>
      </w:r>
    </w:p>
    <w:p>
      <w:r>
        <w:t>We conducted our examination in accordance with the International Standard on Assurance Engagements (ISAE) 3402, Assurance Reports on Controls at a Service Organization, issued by the International Auditing and Assurance Standards Board.</w:t>
      </w:r>
    </w:p>
    <w:p>
      <w:pPr>
        <w:pStyle w:val="Heading2"/>
      </w:pPr>
      <w:r>
        <w:t>Opinion</w:t>
      </w:r>
    </w:p>
    <w:p>
      <w:r>
        <w:t>In our opinion, in all material respects:</w:t>
      </w:r>
    </w:p>
    <w:p>
      <w:pPr>
        <w:pStyle w:val="ListBullet"/>
      </w:pPr>
      <w:r>
        <w:t>The description fairly presents the Tidewater Securities Settlement and Custody Platform as designed and implemented as of March 31, 2026.</w:t>
      </w:r>
    </w:p>
    <w:p>
      <w:pPr>
        <w:pStyle w:val="ListBullet"/>
      </w:pPr>
      <w:r>
        <w:t>The controls stated in the description were suitably designed to provide reasonable assurance that the control objectives would be achieved if the controls operated effectively as of March 31, 2026.</w:t>
      </w:r>
    </w:p>
    <w:p>
      <w:r>
        <w:rPr>
          <w:b/>
        </w:rPr>
        <w:t>Marlow Kent Audit Partners LLP</w:t>
      </w:r>
      <w:r>
        <w:br/>
        <w:t>Boston, Massachusetts</w:t>
        <w:br/>
        <w:t>April 28, 2026</w:t>
      </w:r>
    </w:p>
    <w:p>
      <w:pPr>
        <w:pStyle w:val="Heading1"/>
      </w:pPr>
      <w:r>
        <w:t>SECTION II: MANAGEMENT'S ASSERTION</w:t>
      </w:r>
    </w:p>
    <w:p>
      <w:r>
        <w:t>Tidewater Clearing Corp. asserts that the accompanying description fairly presents the Tidewater Securities Settlement and Custody Platform as of March 31, 2026 and that the controls stated in the description were suitably designed.</w:t>
      </w:r>
    </w:p>
    <w:p>
      <w:r>
        <w:t>Signed on behalf of Tidewater Clearing Corp.: Chief Executive Officer; Chief Financial Officer</w:t>
      </w:r>
    </w:p>
    <w:p>
      <w:pPr>
        <w:pStyle w:val="Heading1"/>
      </w:pPr>
      <w:r>
        <w:t>SECTION III: SYSTEM DESCRIPTION</w:t>
      </w:r>
    </w:p>
    <w:p>
      <w:r>
        <w:t>Tidewater matches trades received from broker-dealers, nets settlement obligations at the end of each day and instructs the custodian banks to move securities and cash.</w:t>
      </w:r>
    </w:p>
    <w:p>
      <w:r>
        <w:rPr>
          <w:b/>
        </w:rPr>
        <w:t>Control objectives evaluated:</w:t>
      </w:r>
    </w:p>
    <w:p>
      <w:pPr>
        <w:pStyle w:val="ListBullet"/>
      </w:pPr>
      <w:r>
        <w:t>CO-1 (Trade Matching): Controls provide reasonable assurance that only matched trades are settled.</w:t>
      </w:r>
    </w:p>
    <w:p>
      <w:pPr>
        <w:pStyle w:val="ListBullet"/>
      </w:pPr>
      <w:r>
        <w:t>CO-2 (Settlement Instructions): Controls provide reasonable assurance that settlement instructions are complete and authorized.</w:t>
      </w:r>
    </w:p>
    <w:p>
      <w:r>
        <w:rPr>
          <w:b/>
        </w:rPr>
        <w:t>Complementary user entity controls:</w:t>
      </w:r>
    </w:p>
    <w:p>
      <w:pPr>
        <w:pStyle w:val="ListBullet"/>
      </w:pPr>
      <w:r>
        <w:t>Participants reconcile their daily settlement statement with their own trade records.</w:t>
      </w:r>
    </w:p>
    <w:p>
      <w:pPr>
        <w:pStyle w:val="Heading1"/>
      </w:pPr>
      <w:r>
        <w:t>SECTION IV: CONTROL DESIGN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Control</w:t>
            </w:r>
          </w:p>
        </w:tc>
        <w:tc>
          <w:tcPr>
            <w:tcW w:type="dxa" w:w="2160"/>
          </w:tcPr>
          <w:p>
            <w:r/>
            <w:r>
              <w:rPr>
                <w:b/>
              </w:rPr>
              <w:t>Control description</w:t>
            </w:r>
          </w:p>
        </w:tc>
        <w:tc>
          <w:tcPr>
            <w:tcW w:type="dxa" w:w="2160"/>
          </w:tcPr>
          <w:p>
            <w:r/>
            <w:r>
              <w:rPr>
                <w:b/>
              </w:rPr>
              <w:t>Test performed</w:t>
            </w:r>
          </w:p>
        </w:tc>
        <w:tc>
          <w:tcPr>
            <w:tcW w:type="dxa" w:w="2160"/>
          </w:tcPr>
          <w:p>
            <w:r/>
            <w:r>
              <w:rPr>
                <w:b/>
              </w:rPr>
              <w:t>Result</w:t>
            </w:r>
          </w:p>
        </w:tc>
      </w:tr>
      <w:tr>
        <w:tc>
          <w:tcPr>
            <w:tcW w:type="dxa" w:w="2160"/>
          </w:tcPr>
          <w:p>
            <w:r>
              <w:t>TWC-11</w:t>
            </w:r>
          </w:p>
        </w:tc>
        <w:tc>
          <w:tcPr>
            <w:tcW w:type="dxa" w:w="2160"/>
          </w:tcPr>
          <w:p>
            <w:r>
              <w:t>Unmatched trades are held in an exception queue and cannot be settled.</w:t>
            </w:r>
          </w:p>
        </w:tc>
        <w:tc>
          <w:tcPr>
            <w:tcW w:type="dxa" w:w="2160"/>
          </w:tcPr>
          <w:p>
            <w:r>
              <w:t>Inspected the system configuration of the exception queue.</w:t>
            </w:r>
          </w:p>
        </w:tc>
        <w:tc>
          <w:tcPr>
            <w:tcW w:type="dxa" w:w="2160"/>
          </w:tcPr>
          <w:p>
            <w:r>
              <w:t>Suitably designed.</w:t>
            </w:r>
          </w:p>
        </w:tc>
      </w:tr>
      <w:tr>
        <w:tc>
          <w:tcPr>
            <w:tcW w:type="dxa" w:w="2160"/>
          </w:tcPr>
          <w:p>
            <w:r>
              <w:t>TWC-14</w:t>
            </w:r>
          </w:p>
        </w:tc>
        <w:tc>
          <w:tcPr>
            <w:tcW w:type="dxa" w:w="2160"/>
          </w:tcPr>
          <w:p>
            <w:r>
              <w:t>Settlement instructions above 5 million USD require a second approver.</w:t>
            </w:r>
          </w:p>
        </w:tc>
        <w:tc>
          <w:tcPr>
            <w:tcW w:type="dxa" w:w="2160"/>
          </w:tcPr>
          <w:p>
            <w:r>
              <w:t>Inspected the approval workflow configuration.</w:t>
            </w:r>
          </w:p>
        </w:tc>
        <w:tc>
          <w:tcPr>
            <w:tcW w:type="dxa" w:w="2160"/>
          </w:tcPr>
          <w:p>
            <w:r>
              <w:t>Suitably designed.</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Sample document generated for a demo. All names are fictitious.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1 TYPE I REPORT: TIDEWATER CLEARING CORP.</dc:title>
  <dc:subject/>
  <dc:creator>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