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2 TYPE II REPORT: COPPERLINE CLOUD HOSTING LTD.</w:t>
      </w:r>
    </w:p>
    <w:p>
      <w:r>
        <w:rPr>
          <w:i/>
        </w:rPr>
        <w:t>Report on Copperline Cloud Hosting Ltd.'s Description of Its Managed Hosting System and on the Suitability of the Design and Operating Effectiveness of Its Controls Relevant to Security and Availability</w:t>
      </w:r>
    </w:p>
    <w:p>
      <w:r>
        <w:rPr>
          <w:b/>
        </w:rPr>
        <w:t xml:space="preserve">Service Organization: </w:t>
      </w:r>
      <w:r>
        <w:t>Copperline Cloud Hosting Ltd. (Portland, Oregon)</w:t>
      </w:r>
    </w:p>
    <w:p>
      <w:r>
        <w:rPr>
          <w:b/>
        </w:rPr>
        <w:t xml:space="preserve">System Assessed: </w:t>
      </w:r>
      <w:r>
        <w:t>Copperline Managed Kubernetes Hosting Service</w:t>
      </w:r>
    </w:p>
    <w:p>
      <w:r>
        <w:rPr>
          <w:b/>
        </w:rPr>
        <w:t xml:space="preserve">Independent Service Auditor: </w:t>
      </w:r>
      <w:r>
        <w:t>Brightwater Assurance LLP</w:t>
      </w:r>
    </w:p>
    <w:p>
      <w:r>
        <w:rPr>
          <w:b/>
        </w:rPr>
        <w:t xml:space="preserve">Review Period: </w:t>
      </w:r>
      <w:r>
        <w:t>April 1, 2025 to March 31, 2026</w:t>
      </w:r>
    </w:p>
    <w:p>
      <w:pPr>
        <w:pStyle w:val="Heading1"/>
      </w:pPr>
      <w:r>
        <w:t>SECTION I: INDEPENDENT SERVICE AUDITOR'S REPORT</w:t>
      </w:r>
    </w:p>
    <w:p>
      <w:r>
        <w:t>To the Board of Directors of Copperline Cloud Hosting Ltd.:</w:t>
      </w:r>
    </w:p>
    <w:p>
      <w:pPr>
        <w:pStyle w:val="Heading2"/>
      </w:pPr>
      <w:r>
        <w:t>Scope</w:t>
      </w:r>
    </w:p>
    <w:p>
      <w:r>
        <w:t>We have examined Copperline Cloud Hosting Ltd.'s ("Copperline") description of its Copperline Managed Kubernetes Hosting Service throughout the period April 1, 2025 to March 31, 2026 (the description), and the suitability of the design and the operating effectiveness of those controls to achieve the related control objectives stated in the description.</w:t>
      </w:r>
    </w:p>
    <w:p>
      <w:pPr>
        <w:pStyle w:val="Heading2"/>
      </w:pPr>
      <w:r>
        <w:t>Service Auditor's Responsibilities</w:t>
      </w:r>
    </w:p>
    <w:p>
      <w:r>
        <w:t>We conducted our examination in accordance with attestation standards established by the AICPA, AT-C Section 205, Assertion-Based Examination Engagements, using the criteria in TSP Section 100, 2017 Trust Services Criteria for Security, Availability, Processing Integrity, Confidentiality, and Privacy (With Revised Points of Focus, 2022).</w:t>
      </w:r>
    </w:p>
    <w:p>
      <w:pPr>
        <w:pStyle w:val="Heading2"/>
      </w:pPr>
      <w:r>
        <w:t>Basis for Qualified Opinion</w:t>
      </w:r>
    </w:p>
    <w:p>
      <w:r>
        <w:t>Copperline states in its description that production changes are approved by a change advisory board before deployment. Our tests found that 4 of 30 sampled production changes were deployed without documented approval. As a result, controls were not operating effectively to meet the criterion CC8.1 during the period.</w:t>
      </w:r>
    </w:p>
    <w:p>
      <w:pPr>
        <w:pStyle w:val="Heading2"/>
      </w:pPr>
      <w:r>
        <w:t>Opinion</w:t>
      </w:r>
    </w:p>
    <w:p>
      <w:r>
        <w:t>In our opinion, except for the matter described in the Basis for Qualified Opinion paragraph, in all material respects:</w:t>
      </w:r>
    </w:p>
    <w:p>
      <w:pPr>
        <w:pStyle w:val="ListBullet"/>
      </w:pPr>
      <w:r>
        <w:t>The description fairly presents the Copperline Managed Kubernetes Hosting Service as designed and implemented throughout the period April 1, 2025 to March 31, 2026.</w:t>
      </w:r>
    </w:p>
    <w:p>
      <w:pPr>
        <w:pStyle w:val="ListBullet"/>
      </w:pPr>
      <w:r>
        <w:t>The controls stated in the description were suitably designed and operated effectively to provide reasonable assurance that the control objectives would be achieved throughout the period April 1, 2025 to March 31, 2026.</w:t>
      </w:r>
    </w:p>
    <w:p>
      <w:r>
        <w:rPr>
          <w:b/>
        </w:rPr>
        <w:t>Brightwater Assurance LLP</w:t>
      </w:r>
      <w:r>
        <w:br/>
        <w:t>Seattle, Washington</w:t>
        <w:br/>
        <w:t>May 22, 2026</w:t>
      </w:r>
    </w:p>
    <w:p>
      <w:pPr>
        <w:pStyle w:val="Heading1"/>
      </w:pPr>
      <w:r>
        <w:t>SECTION II: MANAGEMENT'S ASSERTION</w:t>
      </w:r>
    </w:p>
    <w:p>
      <w:r>
        <w:t>Copperline Cloud Hosting Ltd. asserts that the accompanying description fairly presents the Copperline Managed Kubernetes Hosting Service throughout the period April 1, 2025 to March 31, 2026 and that the controls stated in the description were suitably designed and operated effectively.</w:t>
      </w:r>
    </w:p>
    <w:p>
      <w:r>
        <w:t>Signed on behalf of Copperline Cloud Hosting Ltd.: Chief Executive Officer; Chief Financial Officer</w:t>
      </w:r>
    </w:p>
    <w:p>
      <w:pPr>
        <w:pStyle w:val="Heading1"/>
      </w:pPr>
      <w:r>
        <w:t>SECTION III: SYSTEM DESCRIPTION</w:t>
      </w:r>
    </w:p>
    <w:p>
      <w:r>
        <w:t>Copperline operates managed Kubernetes clusters for software companies. The service covers provisioning, patching, monitoring, backup and incident response for customer workloads hosted in two data centers.</w:t>
      </w:r>
    </w:p>
    <w:p>
      <w:r>
        <w:rPr>
          <w:b/>
        </w:rPr>
        <w:t>Control objectives evaluated:</w:t>
      </w:r>
    </w:p>
    <w:p>
      <w:pPr>
        <w:pStyle w:val="ListBullet"/>
      </w:pPr>
      <w:r>
        <w:t>CC6.1 (Logical Access): Access to the hosting infrastructure is restricted to authorized engineers.</w:t>
      </w:r>
    </w:p>
    <w:p>
      <w:pPr>
        <w:pStyle w:val="ListBullet"/>
      </w:pPr>
      <w:r>
        <w:t>CC7.2 (Monitoring): Security events are monitored and escalated within defined time limits.</w:t>
      </w:r>
    </w:p>
    <w:p>
      <w:pPr>
        <w:pStyle w:val="ListBullet"/>
      </w:pPr>
      <w:r>
        <w:t>CC8.1 (Change Management): Infrastructure changes are authorized, tested and approved before release.</w:t>
      </w:r>
    </w:p>
    <w:p>
      <w:pPr>
        <w:pStyle w:val="ListBullet"/>
      </w:pPr>
      <w:r>
        <w:t>A1.2 (Availability): Backups are performed and restoration is tested.</w:t>
      </w:r>
    </w:p>
    <w:p>
      <w:r>
        <w:rPr>
          <w:b/>
        </w:rPr>
        <w:t>Complementary user entity controls:</w:t>
      </w:r>
    </w:p>
    <w:p>
      <w:pPr>
        <w:pStyle w:val="ListBullet"/>
      </w:pPr>
      <w:r>
        <w:t>User entities manage the accounts of their own staff in the self-service portal.</w:t>
      </w:r>
    </w:p>
    <w:p>
      <w:pPr>
        <w:pStyle w:val="ListBullet"/>
      </w:pPr>
      <w:r>
        <w:t>User entities configure backup retention that meets their own recovery objectives.</w:t>
      </w:r>
    </w:p>
    <w:p>
      <w:pPr>
        <w:pStyle w:val="Heading1"/>
      </w:pPr>
      <w:r>
        <w:t>SECTION IV: CONTROLS, TESTS AND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Control</w:t>
            </w:r>
          </w:p>
        </w:tc>
        <w:tc>
          <w:tcPr>
            <w:tcW w:type="dxa" w:w="2160"/>
          </w:tcPr>
          <w:p>
            <w:r/>
            <w:r>
              <w:rPr>
                <w:b/>
              </w:rPr>
              <w:t>Control description</w:t>
            </w:r>
          </w:p>
        </w:tc>
        <w:tc>
          <w:tcPr>
            <w:tcW w:type="dxa" w:w="2160"/>
          </w:tcPr>
          <w:p>
            <w:r/>
            <w:r>
              <w:rPr>
                <w:b/>
              </w:rPr>
              <w:t>Test performed</w:t>
            </w:r>
          </w:p>
        </w:tc>
        <w:tc>
          <w:tcPr>
            <w:tcW w:type="dxa" w:w="2160"/>
          </w:tcPr>
          <w:p>
            <w:r/>
            <w:r>
              <w:rPr>
                <w:b/>
              </w:rPr>
              <w:t>Result</w:t>
            </w:r>
          </w:p>
        </w:tc>
      </w:tr>
      <w:tr>
        <w:tc>
          <w:tcPr>
            <w:tcW w:type="dxa" w:w="2160"/>
          </w:tcPr>
          <w:p>
            <w:r>
              <w:t>CCH-06</w:t>
            </w:r>
          </w:p>
        </w:tc>
        <w:tc>
          <w:tcPr>
            <w:tcW w:type="dxa" w:w="2160"/>
          </w:tcPr>
          <w:p>
            <w:r>
              <w:t>Engineer access requires single sign-on with hardware-backed multi-factor authentication.</w:t>
            </w:r>
          </w:p>
        </w:tc>
        <w:tc>
          <w:tcPr>
            <w:tcW w:type="dxa" w:w="2160"/>
          </w:tcPr>
          <w:p>
            <w:r>
              <w:t>Inspected the identity provider configuration and a sample of 25 sign-in logs.</w:t>
            </w:r>
          </w:p>
        </w:tc>
        <w:tc>
          <w:tcPr>
            <w:tcW w:type="dxa" w:w="2160"/>
          </w:tcPr>
          <w:p>
            <w:r>
              <w:t>No exceptions noted.</w:t>
            </w:r>
          </w:p>
        </w:tc>
      </w:tr>
      <w:tr>
        <w:tc>
          <w:tcPr>
            <w:tcW w:type="dxa" w:w="2160"/>
          </w:tcPr>
          <w:p>
            <w:r>
              <w:t>CCH-08</w:t>
            </w:r>
          </w:p>
        </w:tc>
        <w:tc>
          <w:tcPr>
            <w:tcW w:type="dxa" w:w="2160"/>
          </w:tcPr>
          <w:p>
            <w:r>
              <w:t>Production changes are approved by the change advisory board before deployment.</w:t>
            </w:r>
          </w:p>
        </w:tc>
        <w:tc>
          <w:tcPr>
            <w:tcW w:type="dxa" w:w="2160"/>
          </w:tcPr>
          <w:p>
            <w:r>
              <w:t>Inspected a sample of 30 production changes for documented approval.</w:t>
            </w:r>
          </w:p>
        </w:tc>
        <w:tc>
          <w:tcPr>
            <w:tcW w:type="dxa" w:w="2160"/>
          </w:tcPr>
          <w:p>
            <w:r>
              <w:t>Exception noted: 4 of 30 changes had no documented approval.</w:t>
            </w:r>
          </w:p>
        </w:tc>
      </w:tr>
      <w:tr>
        <w:tc>
          <w:tcPr>
            <w:tcW w:type="dxa" w:w="2160"/>
          </w:tcPr>
          <w:p>
            <w:r>
              <w:t>CCH-12</w:t>
            </w:r>
          </w:p>
        </w:tc>
        <w:tc>
          <w:tcPr>
            <w:tcW w:type="dxa" w:w="2160"/>
          </w:tcPr>
          <w:p>
            <w:r>
              <w:t>Restoration from backup is tested every quarter.</w:t>
            </w:r>
          </w:p>
        </w:tc>
        <w:tc>
          <w:tcPr>
            <w:tcW w:type="dxa" w:w="2160"/>
          </w:tcPr>
          <w:p>
            <w:r>
              <w:t>Inspected the four quarterly restoration test reports.</w:t>
            </w:r>
          </w:p>
        </w:tc>
        <w:tc>
          <w:tcPr>
            <w:tcW w:type="dxa" w:w="2160"/>
          </w:tcPr>
          <w:p>
            <w:r>
              <w:t>No exceptions noted.</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Sample document generated for a demo. All names are fictitious.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TYPE II REPORT: COPPERLINE CLOUD HOSTING LTD.</dc:title>
  <dc:subject/>
  <dc:creator>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