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Cabealho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531A71F" w:rsidR="004C0200" w:rsidRPr="0081512C" w:rsidRDefault="004C0200" w:rsidP="004C0200">
      <w:pPr>
        <w:pStyle w:val="Cabealho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81512C" w:rsidRPr="0081512C">
        <w:rPr>
          <w:rFonts w:ascii="Arial" w:hAnsi="Arial" w:cs="Arial"/>
          <w:b/>
          <w:bCs/>
        </w:rPr>
        <w:t>1</w:t>
      </w:r>
      <w:r w:rsidR="0081512C">
        <w:rPr>
          <w:rFonts w:ascii="Arial" w:hAnsi="Arial" w:cs="Arial"/>
          <w:b/>
          <w:bCs/>
        </w:rPr>
        <w:t>9</w:t>
      </w:r>
      <w:r w:rsidR="0081512C" w:rsidRPr="0081512C">
        <w:rPr>
          <w:rFonts w:ascii="Arial" w:hAnsi="Arial" w:cs="Arial"/>
          <w:b/>
          <w:bCs/>
        </w:rPr>
        <w:t>/04/2023</w:t>
      </w:r>
    </w:p>
    <w:p w14:paraId="39FAD765" w14:textId="67261C8C" w:rsidR="00506679" w:rsidRPr="0081512C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Cabealho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 xml:space="preserve">Observar Include, </w:t>
      </w:r>
      <w:proofErr w:type="spellStart"/>
      <w:r w:rsidRPr="0081512C">
        <w:rPr>
          <w:rFonts w:ascii="Arial" w:hAnsi="Arial" w:cs="Arial"/>
        </w:rPr>
        <w:t>Extend</w:t>
      </w:r>
      <w:proofErr w:type="spellEnd"/>
      <w:r w:rsidRPr="0081512C">
        <w:rPr>
          <w:rFonts w:ascii="Arial" w:hAnsi="Arial" w:cs="Arial"/>
        </w:rPr>
        <w:t xml:space="preserve">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Forte"/>
          <w:rFonts w:ascii="Arial" w:hAnsi="Arial" w:cs="Arial"/>
        </w:rPr>
        <w:t>Include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proofErr w:type="spellStart"/>
      <w:r w:rsidRPr="0081512C">
        <w:rPr>
          <w:rStyle w:val="Forte"/>
          <w:rFonts w:ascii="Arial" w:hAnsi="Arial" w:cs="Arial"/>
        </w:rPr>
        <w:t>Extend</w:t>
      </w:r>
      <w:proofErr w:type="spellEnd"/>
      <w:r w:rsidRPr="0081512C">
        <w:rPr>
          <w:rStyle w:val="Forte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Forte"/>
          <w:rFonts w:ascii="Arial" w:hAnsi="Arial" w:cs="Arial"/>
        </w:rPr>
        <w:t>Generalização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Forte"/>
          <w:rFonts w:ascii="Arial" w:hAnsi="Arial" w:cs="Arial"/>
          <w:b w:val="0"/>
          <w:bCs w:val="0"/>
        </w:rPr>
        <w:t>- Pode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Forte"/>
          <w:rFonts w:ascii="Arial" w:hAnsi="Arial" w:cs="Arial"/>
          <w:b w:val="0"/>
          <w:bCs w:val="0"/>
        </w:rPr>
        <w:t>é a generalização 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Forte"/>
          <w:rFonts w:ascii="Arial" w:hAnsi="Arial" w:cs="Arial"/>
          <w:b w:val="0"/>
          <w:bCs w:val="0"/>
        </w:rPr>
        <w:t>Ou, um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CD2F601" w14:textId="3434597C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759AAB5" w14:textId="25F6D89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9DFF5D8" w14:textId="6FE722E7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77777777" w:rsidR="0081512C" w:rsidRPr="0081512C" w:rsidRDefault="0081512C" w:rsidP="0081512C">
      <w:pPr>
        <w:pStyle w:val="Figura"/>
        <w:rPr>
          <w:szCs w:val="24"/>
        </w:rPr>
      </w:pPr>
      <w:bookmarkStart w:id="1" w:name="_Toc73840714"/>
      <w:bookmarkStart w:id="2" w:name="_Toc73960543"/>
      <w:r w:rsidRPr="0081512C">
        <w:rPr>
          <w:szCs w:val="24"/>
        </w:rPr>
        <w:t>Figura 1 – Diagrama de Caso de Uso</w:t>
      </w:r>
      <w:bookmarkEnd w:id="1"/>
      <w:bookmarkEnd w:id="2"/>
    </w:p>
    <w:p w14:paraId="1132E40B" w14:textId="686331AA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599D24" w14:textId="13287EED" w:rsidR="005C29D6" w:rsidRPr="0081512C" w:rsidRDefault="0081512C" w:rsidP="008151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E2E8CC9" wp14:editId="04C3EA64">
            <wp:extent cx="5912485" cy="598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eading=h.gjdgxs" w:colFirst="0" w:colLast="0"/>
      <w:bookmarkEnd w:id="3"/>
    </w:p>
    <w:p w14:paraId="3BBE76F5" w14:textId="0AB2AD58" w:rsidR="00EC59A8" w:rsidRPr="00EC59A8" w:rsidRDefault="00EC59A8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  <w:r w:rsidRPr="00EC59A8">
        <w:rPr>
          <w:rFonts w:ascii="Arial" w:hAnsi="Arial" w:cs="Arial"/>
          <w:noProof/>
          <w:color w:val="000000"/>
          <w:highlight w:val="yellow"/>
        </w:rPr>
        <w:t>NÃO ERA USUARIO E USUARIO DOADOR??? OU E VISITANTE?? OS MESMO TERMOS USADOS NA LISTA DE REQ. FUNCIONAIS DEVEM APARECER AQUI</w:t>
      </w:r>
    </w:p>
    <w:p w14:paraId="2E347359" w14:textId="17A95CD2" w:rsidR="00EC59A8" w:rsidRPr="00EC59A8" w:rsidRDefault="00EC59A8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  <w:r w:rsidRPr="00EC59A8">
        <w:rPr>
          <w:rFonts w:ascii="Arial" w:hAnsi="Arial" w:cs="Arial"/>
          <w:noProof/>
          <w:color w:val="000000"/>
          <w:highlight w:val="yellow"/>
        </w:rPr>
        <w:t>A SETA DE ESPECIALIZACAO E DIFERENTE</w:t>
      </w:r>
    </w:p>
    <w:p w14:paraId="48ED5257" w14:textId="6206110F" w:rsidR="00EC59A8" w:rsidRDefault="00EC59A8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C59A8">
        <w:rPr>
          <w:rFonts w:ascii="Arial" w:hAnsi="Arial" w:cs="Arial"/>
          <w:noProof/>
          <w:color w:val="000000"/>
          <w:highlight w:val="yellow"/>
        </w:rPr>
        <w:t>EXTEND E INCLUDE SÃO DIFERENTE OBSERVAR QUE SÃO PONTILHADOS E O SENTIDO DA SETA</w:t>
      </w:r>
    </w:p>
    <w:p w14:paraId="5C9F866F" w14:textId="00FB176E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C189" w14:textId="77777777" w:rsidR="003F7BD5" w:rsidRDefault="003F7BD5">
      <w:r>
        <w:separator/>
      </w:r>
    </w:p>
  </w:endnote>
  <w:endnote w:type="continuationSeparator" w:id="0">
    <w:p w14:paraId="2834AA95" w14:textId="77777777" w:rsidR="003F7BD5" w:rsidRDefault="003F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BE21" w14:textId="77777777" w:rsidR="003F7BD5" w:rsidRDefault="003F7BD5">
      <w:r>
        <w:separator/>
      </w:r>
    </w:p>
  </w:footnote>
  <w:footnote w:type="continuationSeparator" w:id="0">
    <w:p w14:paraId="77FD7B68" w14:textId="77777777" w:rsidR="003F7BD5" w:rsidRDefault="003F7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Cabealho"/>
    </w:pPr>
  </w:p>
  <w:p w14:paraId="1AA4A84F" w14:textId="77777777" w:rsidR="0081512C" w:rsidRPr="0081512C" w:rsidRDefault="0081512C" w:rsidP="008151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481">
    <w:abstractNumId w:val="4"/>
  </w:num>
  <w:num w:numId="2" w16cid:durableId="1763909649">
    <w:abstractNumId w:val="1"/>
  </w:num>
  <w:num w:numId="3" w16cid:durableId="1794857968">
    <w:abstractNumId w:val="2"/>
  </w:num>
  <w:num w:numId="4" w16cid:durableId="394401282">
    <w:abstractNumId w:val="0"/>
  </w:num>
  <w:num w:numId="5" w16cid:durableId="43984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3F7BD5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C59A8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2021-09-09T18:51:00Z</dcterms:created>
  <dcterms:modified xsi:type="dcterms:W3CDTF">2023-04-20T16:36:00Z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