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F172A"/>
          <w:sz w:val="44"/>
        </w:rPr>
        <w:t>Cobertura de QA Funcional — Front-end</w:t>
      </w:r>
    </w:p>
    <w:p>
      <w:pPr>
        <w:spacing w:after="400"/>
      </w:pPr>
      <w:r>
        <w:rPr>
          <w:i/>
          <w:color w:val="64748B"/>
          <w:sz w:val="22"/>
        </w:rPr>
        <w:t>sgsm-front-medico  ·  Skill executa-testes-funcionais-qa-front-end  ·  19/08/2026</w:t>
      </w:r>
    </w:p>
    <w:p>
      <w:pPr>
        <w:spacing w:after="160"/>
      </w:pPr>
      <w:r>
        <w:rPr>
          <w:color w:val="1E293B"/>
          <w:sz w:val="21"/>
        </w:rPr>
        <w:t>Este relatório consolida quais telas do sistema já passaram por execução de QA funcional ao vivo (via Playwright, contra a aplicação e os back-ends reais, sem mocks) e quais telas ainda não têm nenhuma cobertura registrada. A fonte dos dados são os Pull Requests fechados no repositório sgsm-front-medico e as branches qa/* existentes no remoto até a data acima.</w:t>
      </w:r>
    </w:p>
    <w:p>
      <w:pPr>
        <w:spacing w:before="400" w:after="160"/>
        <w:pBdr>
          <w:bottom w:val="single" w:sz="6" w:space="4" w:color="1a56db"/>
        </w:pBdr>
      </w:pPr>
      <w:r>
        <w:rPr>
          <w:b/>
          <w:color w:val="1A56DB"/>
          <w:sz w:val="30"/>
        </w:rPr>
        <w:t>Casos de uso testados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Página / Rota</w:t>
            </w:r>
          </w:p>
        </w:tc>
        <w:tc>
          <w:tcPr>
            <w:tcW w:type="dxa" w:w="1871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Branch(es)</w:t>
            </w:r>
          </w:p>
        </w:tc>
        <w:tc>
          <w:tcPr>
            <w:tcW w:type="dxa" w:w="2438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Casos executados</w:t>
            </w:r>
          </w:p>
        </w:tc>
        <w:tc>
          <w:tcPr>
            <w:tcW w:type="dxa" w:w="1701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1814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PR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color w:val="1E293B"/>
                <w:sz w:val="19"/>
              </w:rPr>
              <w:t>/pacientes</w:t>
            </w:r>
          </w:p>
        </w:tc>
        <w:tc>
          <w:tcPr>
            <w:tcW w:type="dxa" w:w="1871"/>
          </w:tcPr>
          <w:p>
            <w:r/>
            <w:r>
              <w:rPr>
                <w:color w:val="1E293B"/>
                <w:sz w:val="19"/>
              </w:rPr>
              <w:t>qa/pacientes-validacao*</w:t>
              <w:br/>
              <w:t>qa/pacientes-regressao</w:t>
            </w:r>
          </w:p>
        </w:tc>
        <w:tc>
          <w:tcPr>
            <w:tcW w:type="dxa" w:w="2438"/>
          </w:tcPr>
          <w:p>
            <w:r/>
            <w:r>
              <w:rPr>
                <w:color w:val="1E293B"/>
                <w:sz w:val="19"/>
              </w:rPr>
              <w:t>70 (validação de campos)</w:t>
              <w:br/>
              <w:t>52/52 (regressão geral)</w:t>
            </w:r>
          </w:p>
        </w:tc>
        <w:tc>
          <w:tcPr>
            <w:tcW w:type="dxa" w:w="1701"/>
          </w:tcPr>
          <w:p>
            <w:r/>
            <w:r>
              <w:rPr>
                <w:color w:val="1E293B"/>
                <w:sz w:val="19"/>
              </w:rPr>
              <w:t>Aprovado</w:t>
            </w:r>
          </w:p>
        </w:tc>
        <w:tc>
          <w:tcPr>
            <w:tcW w:type="dxa" w:w="1814"/>
          </w:tcPr>
          <w:p>
            <w:r/>
            <w:r>
              <w:rPr>
                <w:color w:val="1E293B"/>
                <w:sz w:val="19"/>
              </w:rPr>
              <w:t>#14 (mergiado)</w:t>
            </w:r>
          </w:p>
        </w:tc>
      </w:tr>
      <w:tr>
        <w:tc>
          <w:tcPr>
            <w:tcW w:type="dxa" w:w="1814"/>
            <w:shd w:val="clear" w:fill="f1f5f9"/>
          </w:tcPr>
          <w:p>
            <w:r/>
            <w:r>
              <w:rPr>
                <w:color w:val="1E293B"/>
                <w:sz w:val="19"/>
              </w:rPr>
              <w:t>/medicos</w:t>
            </w:r>
          </w:p>
        </w:tc>
        <w:tc>
          <w:tcPr>
            <w:tcW w:type="dxa" w:w="1871"/>
            <w:shd w:val="clear" w:fill="f1f5f9"/>
          </w:tcPr>
          <w:p>
            <w:r/>
            <w:r>
              <w:rPr>
                <w:color w:val="1E293B"/>
                <w:sz w:val="19"/>
              </w:rPr>
              <w:t>qa/medicos</w:t>
            </w:r>
          </w:p>
        </w:tc>
        <w:tc>
          <w:tcPr>
            <w:tcW w:type="dxa" w:w="2438"/>
            <w:shd w:val="clear" w:fill="f1f5f9"/>
          </w:tcPr>
          <w:p>
            <w:r/>
            <w:r>
              <w:rPr>
                <w:color w:val="1E293B"/>
                <w:sz w:val="19"/>
              </w:rPr>
              <w:t>57 (52 aprovados, 4 bloqueados</w:t>
              <w:br/>
              <w:t>por bug de backend, 1 não-testável)</w:t>
            </w:r>
          </w:p>
        </w:tc>
        <w:tc>
          <w:tcPr>
            <w:tcW w:type="dxa" w:w="1701"/>
            <w:shd w:val="clear" w:fill="f1f5f9"/>
          </w:tcPr>
          <w:p>
            <w:r/>
            <w:r>
              <w:rPr>
                <w:color w:val="1E293B"/>
                <w:sz w:val="19"/>
              </w:rPr>
              <w:t>Aprovado com pendências</w:t>
              <w:br/>
              <w:t>de backend</w:t>
            </w:r>
          </w:p>
        </w:tc>
        <w:tc>
          <w:tcPr>
            <w:tcW w:type="dxa" w:w="1814"/>
            <w:shd w:val="clear" w:fill="f1f5f9"/>
          </w:tcPr>
          <w:p>
            <w:r/>
            <w:r>
              <w:rPr>
                <w:color w:val="1E293B"/>
                <w:sz w:val="19"/>
              </w:rPr>
              <w:t>Sem PR</w:t>
              <w:br/>
              <w:t>(merge direto p/ develop)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color w:val="1E293B"/>
                <w:sz w:val="19"/>
              </w:rPr>
              <w:t>/estabelecimentos</w:t>
            </w:r>
          </w:p>
        </w:tc>
        <w:tc>
          <w:tcPr>
            <w:tcW w:type="dxa" w:w="1871"/>
          </w:tcPr>
          <w:p>
            <w:r/>
            <w:r>
              <w:rPr>
                <w:color w:val="1E293B"/>
                <w:sz w:val="19"/>
              </w:rPr>
              <w:t>qa/estabelecimento-validacao</w:t>
            </w:r>
          </w:p>
        </w:tc>
        <w:tc>
          <w:tcPr>
            <w:tcW w:type="dxa" w:w="2438"/>
          </w:tcPr>
          <w:p>
            <w:r/>
            <w:r>
              <w:rPr>
                <w:color w:val="1E293B"/>
                <w:sz w:val="19"/>
              </w:rPr>
              <w:t>54 (48 aprovados na 1ª rodada;</w:t>
              <w:br/>
              <w:t>100% após correções e regressão)</w:t>
            </w:r>
          </w:p>
        </w:tc>
        <w:tc>
          <w:tcPr>
            <w:tcW w:type="dxa" w:w="1701"/>
          </w:tcPr>
          <w:p>
            <w:r/>
            <w:r>
              <w:rPr>
                <w:color w:val="1E293B"/>
                <w:sz w:val="19"/>
              </w:rPr>
              <w:t>Aprovado</w:t>
            </w:r>
          </w:p>
        </w:tc>
        <w:tc>
          <w:tcPr>
            <w:tcW w:type="dxa" w:w="1814"/>
          </w:tcPr>
          <w:p>
            <w:r/>
            <w:r>
              <w:rPr>
                <w:color w:val="1E293B"/>
                <w:sz w:val="19"/>
              </w:rPr>
              <w:t>#15 (mergiado)</w:t>
            </w:r>
          </w:p>
        </w:tc>
      </w:tr>
      <w:tr>
        <w:tc>
          <w:tcPr>
            <w:tcW w:type="dxa" w:w="1814"/>
            <w:shd w:val="clear" w:fill="f1f5f9"/>
          </w:tcPr>
          <w:p>
            <w:r/>
            <w:r>
              <w:rPr>
                <w:color w:val="1E293B"/>
                <w:sz w:val="19"/>
              </w:rPr>
              <w:t>/crm</w:t>
            </w:r>
          </w:p>
        </w:tc>
        <w:tc>
          <w:tcPr>
            <w:tcW w:type="dxa" w:w="1871"/>
            <w:shd w:val="clear" w:fill="f1f5f9"/>
          </w:tcPr>
          <w:p>
            <w:r/>
            <w:r>
              <w:rPr>
                <w:color w:val="1E293B"/>
                <w:sz w:val="19"/>
              </w:rPr>
              <w:t>qa/crm</w:t>
            </w:r>
          </w:p>
        </w:tc>
        <w:tc>
          <w:tcPr>
            <w:tcW w:type="dxa" w:w="2438"/>
            <w:shd w:val="clear" w:fill="f1f5f9"/>
          </w:tcPr>
          <w:p>
            <w:r/>
            <w:r>
              <w:rPr>
                <w:color w:val="1E293B"/>
                <w:sz w:val="19"/>
              </w:rPr>
              <w:t>74 (68 aprovados na rodada final)</w:t>
            </w:r>
          </w:p>
        </w:tc>
        <w:tc>
          <w:tcPr>
            <w:tcW w:type="dxa" w:w="1701"/>
            <w:shd w:val="clear" w:fill="f1f5f9"/>
          </w:tcPr>
          <w:p>
            <w:r/>
            <w:r>
              <w:rPr>
                <w:color w:val="1E293B"/>
                <w:sz w:val="19"/>
              </w:rPr>
              <w:t>Aprovado</w:t>
            </w:r>
          </w:p>
        </w:tc>
        <w:tc>
          <w:tcPr>
            <w:tcW w:type="dxa" w:w="1814"/>
            <w:shd w:val="clear" w:fill="f1f5f9"/>
          </w:tcPr>
          <w:p>
            <w:r/>
            <w:r>
              <w:rPr>
                <w:color w:val="1E293B"/>
                <w:sz w:val="19"/>
              </w:rPr>
              <w:t>#17 (mergiado)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color w:val="1E293B"/>
                <w:sz w:val="19"/>
              </w:rPr>
              <w:t>/servicos</w:t>
            </w:r>
          </w:p>
        </w:tc>
        <w:tc>
          <w:tcPr>
            <w:tcW w:type="dxa" w:w="1871"/>
          </w:tcPr>
          <w:p>
            <w:r/>
            <w:r>
              <w:rPr>
                <w:color w:val="1E293B"/>
                <w:sz w:val="19"/>
              </w:rPr>
              <w:t>qa/servico-medico</w:t>
            </w:r>
          </w:p>
        </w:tc>
        <w:tc>
          <w:tcPr>
            <w:tcW w:type="dxa" w:w="2438"/>
          </w:tcPr>
          <w:p>
            <w:r/>
            <w:r>
              <w:rPr>
                <w:color w:val="1E293B"/>
                <w:sz w:val="19"/>
              </w:rPr>
              <w:t>65 (61 aprovados, 3 bloqueados</w:t>
              <w:br/>
              <w:t>por limitação de ambiente,</w:t>
              <w:br/>
              <w:t>1 falha conhecida fora de escopo)</w:t>
            </w:r>
          </w:p>
        </w:tc>
        <w:tc>
          <w:tcPr>
            <w:tcW w:type="dxa" w:w="1701"/>
          </w:tcPr>
          <w:p>
            <w:r/>
            <w:r>
              <w:rPr>
                <w:color w:val="1E293B"/>
                <w:sz w:val="19"/>
              </w:rPr>
              <w:t>Aprovado</w:t>
            </w:r>
          </w:p>
        </w:tc>
        <w:tc>
          <w:tcPr>
            <w:tcW w:type="dxa" w:w="1814"/>
          </w:tcPr>
          <w:p>
            <w:r/>
            <w:r>
              <w:rPr>
                <w:color w:val="1E293B"/>
                <w:sz w:val="19"/>
              </w:rPr>
              <w:t>#19 (mergiado)</w:t>
            </w:r>
          </w:p>
        </w:tc>
      </w:tr>
    </w:tbl>
    <w:p>
      <w:pPr>
        <w:spacing w:after="80"/>
      </w:pPr>
    </w:p>
    <w:p>
      <w:pPr>
        <w:spacing w:before="80" w:after="200"/>
      </w:pPr>
      <w:r>
        <w:rPr>
          <w:i/>
          <w:color w:val="B45309"/>
          <w:sz w:val="20"/>
        </w:rPr>
        <w:t>* qa/pacientes-validacao não corresponde a uma branch remota própria; o test-plan de validação de campos foi executado e documentado dentro do histórico que resultou na branch qa/pacientes-regressao.</w:t>
      </w:r>
    </w:p>
    <w:p>
      <w:pPr>
        <w:spacing w:before="400" w:after="160"/>
        <w:pBdr>
          <w:bottom w:val="single" w:sz="6" w:space="4" w:color="1a56db"/>
        </w:pBdr>
      </w:pPr>
      <w:r>
        <w:rPr>
          <w:b/>
          <w:color w:val="1A56DB"/>
          <w:sz w:val="30"/>
        </w:rPr>
        <w:t>Casos de uso faltando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28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Página / Rota</w:t>
            </w:r>
          </w:p>
        </w:tc>
        <w:tc>
          <w:tcPr>
            <w:tcW w:type="dxa" w:w="2041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Observação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1E293B"/>
                <w:sz w:val="19"/>
              </w:rPr>
              <w:t>/</w:t>
            </w:r>
          </w:p>
        </w:tc>
        <w:tc>
          <w:tcPr>
            <w:tcW w:type="dxa" w:w="2041"/>
          </w:tcPr>
          <w:p>
            <w:r/>
            <w:r>
              <w:rPr>
                <w:color w:val="1E293B"/>
                <w:sz w:val="19"/>
              </w:rPr>
              <w:t>HomePage</w:t>
            </w:r>
          </w:p>
        </w:tc>
        <w:tc>
          <w:tcPr>
            <w:tcW w:type="dxa" w:w="5669"/>
          </w:tcPr>
          <w:p>
            <w:r/>
            <w:r>
              <w:rPr>
                <w:color w:val="1E293B"/>
                <w:sz w:val="19"/>
              </w:rPr>
              <w:t>Dashboard inicial — sem QA funcional registrada</w:t>
            </w:r>
          </w:p>
        </w:tc>
      </w:tr>
      <w:tr>
        <w:tc>
          <w:tcPr>
            <w:tcW w:type="dxa" w:w="1928"/>
            <w:shd w:val="clear" w:fill="f1f5f9"/>
          </w:tcPr>
          <w:p>
            <w:r/>
            <w:r>
              <w:rPr>
                <w:color w:val="1E293B"/>
                <w:sz w:val="19"/>
              </w:rPr>
              <w:t>/world</w:t>
            </w:r>
          </w:p>
        </w:tc>
        <w:tc>
          <w:tcPr>
            <w:tcW w:type="dxa" w:w="2041"/>
            <w:shd w:val="clear" w:fill="f1f5f9"/>
          </w:tcPr>
          <w:p>
            <w:r/>
            <w:r>
              <w:rPr>
                <w:color w:val="1E293B"/>
                <w:sz w:val="19"/>
              </w:rPr>
              <w:t>WorldPage</w:t>
            </w:r>
          </w:p>
        </w:tc>
        <w:tc>
          <w:tcPr>
            <w:tcW w:type="dxa" w:w="5669"/>
            <w:shd w:val="clear" w:fill="f1f5f9"/>
          </w:tcPr>
          <w:p>
            <w:r/>
            <w:r>
              <w:rPr>
                <w:color w:val="1E293B"/>
                <w:sz w:val="19"/>
              </w:rPr>
              <w:t>Landing/apresentação — sem QA funcional registrada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1E293B"/>
                <w:sz w:val="19"/>
              </w:rPr>
              <w:t>/login</w:t>
            </w:r>
          </w:p>
        </w:tc>
        <w:tc>
          <w:tcPr>
            <w:tcW w:type="dxa" w:w="2041"/>
          </w:tcPr>
          <w:p>
            <w:r/>
            <w:r>
              <w:rPr>
                <w:color w:val="1E293B"/>
                <w:sz w:val="19"/>
              </w:rPr>
              <w:t>LoginPage</w:t>
            </w:r>
          </w:p>
        </w:tc>
        <w:tc>
          <w:tcPr>
            <w:tcW w:type="dxa" w:w="5669"/>
          </w:tcPr>
          <w:p>
            <w:r/>
            <w:r>
              <w:rPr>
                <w:color w:val="1E293B"/>
                <w:sz w:val="19"/>
              </w:rPr>
              <w:t>Porta de entrada do sistema — nunca testada</w:t>
            </w:r>
          </w:p>
        </w:tc>
      </w:tr>
      <w:tr>
        <w:tc>
          <w:tcPr>
            <w:tcW w:type="dxa" w:w="1928"/>
            <w:shd w:val="clear" w:fill="f1f5f9"/>
          </w:tcPr>
          <w:p>
            <w:r/>
            <w:r>
              <w:rPr>
                <w:color w:val="1E293B"/>
                <w:sz w:val="19"/>
              </w:rPr>
              <w:t>/registrar</w:t>
            </w:r>
          </w:p>
        </w:tc>
        <w:tc>
          <w:tcPr>
            <w:tcW w:type="dxa" w:w="2041"/>
            <w:shd w:val="clear" w:fill="f1f5f9"/>
          </w:tcPr>
          <w:p>
            <w:r/>
            <w:r>
              <w:rPr>
                <w:color w:val="1E293B"/>
                <w:sz w:val="19"/>
              </w:rPr>
              <w:t>RegisterPage</w:t>
            </w:r>
          </w:p>
        </w:tc>
        <w:tc>
          <w:tcPr>
            <w:tcW w:type="dxa" w:w="5669"/>
            <w:shd w:val="clear" w:fill="f1f5f9"/>
          </w:tcPr>
          <w:p>
            <w:r/>
            <w:r>
              <w:rPr>
                <w:color w:val="1E293B"/>
                <w:sz w:val="19"/>
              </w:rPr>
              <w:t>Fluxo de autocadastro — nunca testado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1E293B"/>
                <w:sz w:val="19"/>
              </w:rPr>
              <w:t>/esqueci-senha</w:t>
            </w:r>
          </w:p>
        </w:tc>
        <w:tc>
          <w:tcPr>
            <w:tcW w:type="dxa" w:w="2041"/>
          </w:tcPr>
          <w:p>
            <w:r/>
            <w:r>
              <w:rPr>
                <w:color w:val="1E293B"/>
                <w:sz w:val="19"/>
              </w:rPr>
              <w:t>EsqueciSenhaPage</w:t>
            </w:r>
          </w:p>
        </w:tc>
        <w:tc>
          <w:tcPr>
            <w:tcW w:type="dxa" w:w="5669"/>
          </w:tcPr>
          <w:p>
            <w:r/>
            <w:r>
              <w:rPr>
                <w:color w:val="1E293B"/>
                <w:sz w:val="19"/>
              </w:rPr>
              <w:t>Fluxo de recuperação de senha — nunca testado</w:t>
            </w:r>
          </w:p>
        </w:tc>
      </w:tr>
      <w:tr>
        <w:tc>
          <w:tcPr>
            <w:tcW w:type="dxa" w:w="1928"/>
            <w:shd w:val="clear" w:fill="f1f5f9"/>
          </w:tcPr>
          <w:p>
            <w:r/>
            <w:r>
              <w:rPr>
                <w:color w:val="1E293B"/>
                <w:sz w:val="19"/>
              </w:rPr>
              <w:t>/resetar-senha</w:t>
            </w:r>
          </w:p>
        </w:tc>
        <w:tc>
          <w:tcPr>
            <w:tcW w:type="dxa" w:w="2041"/>
            <w:shd w:val="clear" w:fill="f1f5f9"/>
          </w:tcPr>
          <w:p>
            <w:r/>
            <w:r>
              <w:rPr>
                <w:color w:val="1E293B"/>
                <w:sz w:val="19"/>
              </w:rPr>
              <w:t>ResetarSenhaPage</w:t>
            </w:r>
          </w:p>
        </w:tc>
        <w:tc>
          <w:tcPr>
            <w:tcW w:type="dxa" w:w="5669"/>
            <w:shd w:val="clear" w:fill="f1f5f9"/>
          </w:tcPr>
          <w:p>
            <w:r/>
            <w:r>
              <w:rPr>
                <w:color w:val="1E293B"/>
                <w:sz w:val="19"/>
              </w:rPr>
              <w:t>Fluxo de recuperação de senha — nunca testado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1E293B"/>
                <w:sz w:val="19"/>
              </w:rPr>
              <w:t>/agendamentos</w:t>
            </w:r>
          </w:p>
        </w:tc>
        <w:tc>
          <w:tcPr>
            <w:tcW w:type="dxa" w:w="2041"/>
          </w:tcPr>
          <w:p>
            <w:r/>
            <w:r>
              <w:rPr>
                <w:color w:val="1E293B"/>
                <w:sz w:val="19"/>
              </w:rPr>
              <w:t>AgendamentosPage</w:t>
            </w:r>
          </w:p>
        </w:tc>
        <w:tc>
          <w:tcPr>
            <w:tcW w:type="dxa" w:w="5669"/>
          </w:tcPr>
          <w:p>
            <w:r/>
            <w:r>
              <w:rPr>
                <w:color w:val="1E293B"/>
                <w:sz w:val="19"/>
              </w:rPr>
              <w:t>Agenda médica, horários e conflitos — sem cobertura</w:t>
            </w:r>
          </w:p>
        </w:tc>
      </w:tr>
      <w:tr>
        <w:tc>
          <w:tcPr>
            <w:tcW w:type="dxa" w:w="1928"/>
            <w:shd w:val="clear" w:fill="f1f5f9"/>
          </w:tcPr>
          <w:p>
            <w:r/>
            <w:r>
              <w:rPr>
                <w:color w:val="1E293B"/>
                <w:sz w:val="19"/>
              </w:rPr>
              <w:t>/funcionarios</w:t>
            </w:r>
          </w:p>
        </w:tc>
        <w:tc>
          <w:tcPr>
            <w:tcW w:type="dxa" w:w="2041"/>
            <w:shd w:val="clear" w:fill="f1f5f9"/>
          </w:tcPr>
          <w:p>
            <w:r/>
            <w:r>
              <w:rPr>
                <w:color w:val="1E293B"/>
                <w:sz w:val="19"/>
              </w:rPr>
              <w:t>FuncionariosPage</w:t>
            </w:r>
          </w:p>
        </w:tc>
        <w:tc>
          <w:tcPr>
            <w:tcW w:type="dxa" w:w="5669"/>
            <w:shd w:val="clear" w:fill="f1f5f9"/>
          </w:tcPr>
          <w:p>
            <w:r/>
            <w:r>
              <w:rPr>
                <w:color w:val="1E293B"/>
                <w:sz w:val="19"/>
              </w:rPr>
              <w:t>Sem cobertura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1E293B"/>
                <w:sz w:val="19"/>
              </w:rPr>
              <w:t>/ia</w:t>
            </w:r>
          </w:p>
        </w:tc>
        <w:tc>
          <w:tcPr>
            <w:tcW w:type="dxa" w:w="2041"/>
          </w:tcPr>
          <w:p>
            <w:r/>
            <w:r>
              <w:rPr>
                <w:color w:val="1E293B"/>
                <w:sz w:val="19"/>
              </w:rPr>
              <w:t>IaPage</w:t>
            </w:r>
          </w:p>
        </w:tc>
        <w:tc>
          <w:tcPr>
            <w:tcW w:type="dxa" w:w="5669"/>
          </w:tcPr>
          <w:p>
            <w:r/>
            <w:r>
              <w:rPr>
                <w:color w:val="1E293B"/>
                <w:sz w:val="19"/>
              </w:rPr>
              <w:t>Integração com sgsm-ia — sem cobertura</w:t>
            </w:r>
          </w:p>
        </w:tc>
      </w:tr>
    </w:tbl>
    <w:p>
      <w:pPr>
        <w:spacing w:after="80"/>
      </w:pPr>
    </w:p>
    <w:p>
      <w:pPr>
        <w:spacing w:before="400" w:after="160"/>
        <w:pBdr>
          <w:bottom w:val="single" w:sz="6" w:space="4" w:color="1a56db"/>
        </w:pBdr>
      </w:pPr>
      <w:r>
        <w:rPr>
          <w:b/>
          <w:color w:val="1A56DB"/>
          <w:sz w:val="30"/>
        </w:rPr>
        <w:t>Bugs de backend identificados no QA de Médicos</w:t>
      </w:r>
    </w:p>
    <w:p>
      <w:pPr>
        <w:spacing w:after="160"/>
      </w:pPr>
      <w:r>
        <w:rPr>
          <w:color w:val="1E293B"/>
          <w:sz w:val="21"/>
        </w:rPr>
        <w:t>Os 4 itens reprovados na QA de Médicos (qa/medicos) e atribuídos a backend já foram todos corrigidos e mergiados na develop, tanto no sgsm quanto no sgsm-front-medico.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41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685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Causa raiz</w:t>
            </w:r>
          </w:p>
        </w:tc>
        <w:tc>
          <w:tcPr>
            <w:tcW w:type="dxa" w:w="2551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Correção</w:t>
            </w:r>
          </w:p>
        </w:tc>
        <w:tc>
          <w:tcPr>
            <w:tcW w:type="dxa" w:w="2494"/>
            <w:shd w:val="clear" w:fill="1a56db"/>
          </w:tcPr>
          <w:p>
            <w:pPr>
              <w:jc w:val="left"/>
            </w:pPr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1E293B"/>
                <w:sz w:val="19"/>
              </w:rPr>
              <w:t>M15 / M16 / M18</w:t>
              <w:br/>
              <w:t>(filtros ignorados)</w:t>
            </w:r>
          </w:p>
        </w:tc>
        <w:tc>
          <w:tcPr>
            <w:tcW w:type="dxa" w:w="3685"/>
          </w:tcPr>
          <w:p>
            <w:r/>
            <w:r>
              <w:rPr>
                <w:color w:val="1E293B"/>
                <w:sz w:val="19"/>
              </w:rPr>
              <w:t>MedicoService.listar() restringia perfil MEDICO a ver</w:t>
              <w:br/>
              <w:t>só o próprio cadastro, ignorando ativo/especialidade</w:t>
            </w:r>
          </w:p>
        </w:tc>
        <w:tc>
          <w:tcPr>
            <w:tcW w:type="dxa" w:w="2551"/>
          </w:tcPr>
          <w:p>
            <w:r/>
            <w:r>
              <w:rPr>
                <w:color w:val="1E293B"/>
                <w:sz w:val="19"/>
              </w:rPr>
              <w:t>Removida a auto-restrição</w:t>
              <w:br/>
              <w:t>em MedicoService (sgsm)</w:t>
            </w:r>
          </w:p>
        </w:tc>
        <w:tc>
          <w:tcPr>
            <w:tcW w:type="dxa" w:w="2494"/>
          </w:tcPr>
          <w:p>
            <w:r/>
            <w:r>
              <w:rPr>
                <w:color w:val="1E293B"/>
                <w:sz w:val="19"/>
              </w:rPr>
              <w:t>Corrigido</w:t>
              <w:br/>
              <w:t>sgsm PR #13 (0ef000b)</w:t>
            </w:r>
          </w:p>
        </w:tc>
      </w:tr>
      <w:tr>
        <w:tc>
          <w:tcPr>
            <w:tcW w:type="dxa" w:w="2041"/>
            <w:shd w:val="clear" w:fill="f1f5f9"/>
          </w:tcPr>
          <w:p>
            <w:r/>
            <w:r>
              <w:rPr>
                <w:color w:val="1E293B"/>
                <w:sz w:val="19"/>
              </w:rPr>
              <w:t>M55</w:t>
              <w:br/>
              <w:t>(médicos recém-criados somem da lista)</w:t>
            </w:r>
          </w:p>
        </w:tc>
        <w:tc>
          <w:tcPr>
            <w:tcW w:type="dxa" w:w="3685"/>
            <w:shd w:val="clear" w:fill="f1f5f9"/>
          </w:tcPr>
          <w:p>
            <w:r/>
            <w:r>
              <w:rPr>
                <w:color w:val="1E293B"/>
                <w:sz w:val="19"/>
              </w:rPr>
              <w:t>Mesma causa raiz de M15/M16/M18</w:t>
            </w:r>
          </w:p>
        </w:tc>
        <w:tc>
          <w:tcPr>
            <w:tcW w:type="dxa" w:w="2551"/>
            <w:shd w:val="clear" w:fill="f1f5f9"/>
          </w:tcPr>
          <w:p>
            <w:r/>
            <w:r>
              <w:rPr>
                <w:color w:val="1E293B"/>
                <w:sz w:val="19"/>
              </w:rPr>
              <w:t>Resolvido pela mesma</w:t>
              <w:br/>
              <w:t>correção acima</w:t>
            </w:r>
          </w:p>
        </w:tc>
        <w:tc>
          <w:tcPr>
            <w:tcW w:type="dxa" w:w="2494"/>
            <w:shd w:val="clear" w:fill="f1f5f9"/>
          </w:tcPr>
          <w:p>
            <w:r/>
            <w:r>
              <w:rPr>
                <w:color w:val="1E293B"/>
                <w:sz w:val="19"/>
              </w:rPr>
              <w:t>Corrigido</w:t>
              <w:br/>
              <w:t>sgsm PR #13 (0ef000b)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1E293B"/>
                <w:sz w:val="19"/>
              </w:rPr>
              <w:t>M54</w:t>
              <w:br/>
              <w:t>(logout no 2º F5)</w:t>
            </w:r>
          </w:p>
        </w:tc>
        <w:tc>
          <w:tcPr>
            <w:tcW w:type="dxa" w:w="3685"/>
          </w:tcPr>
          <w:p>
            <w:r/>
            <w:r>
              <w:rPr>
                <w:color w:val="1E293B"/>
                <w:sz w:val="19"/>
              </w:rPr>
              <w:t>Não era bug de backend: o sgsm-auth já rotacionava</w:t>
              <w:br/>
              <w:t>o refresh token corretamente. O front-end</w:t>
              <w:br/>
              <w:t>(api.ts/useAuth.tsx) não persistia o token rotacionado</w:t>
            </w:r>
          </w:p>
        </w:tc>
        <w:tc>
          <w:tcPr>
            <w:tcW w:type="dxa" w:w="2551"/>
          </w:tcPr>
          <w:p>
            <w:r/>
            <w:r>
              <w:rPr>
                <w:color w:val="1E293B"/>
                <w:sz w:val="19"/>
              </w:rPr>
              <w:t>Corrigido no front-end,</w:t>
              <w:br/>
              <w:t>combinado com a correção</w:t>
              <w:br/>
              <w:t>de concorrência do qa/medicos</w:t>
            </w:r>
          </w:p>
        </w:tc>
        <w:tc>
          <w:tcPr>
            <w:tcW w:type="dxa" w:w="2494"/>
          </w:tcPr>
          <w:p>
            <w:r/>
            <w:r>
              <w:rPr>
                <w:color w:val="1E293B"/>
                <w:sz w:val="19"/>
              </w:rPr>
              <w:t>Corrigido</w:t>
              <w:br/>
              <w:t>sgsm-front-medico (317fc60, 1337ddf)</w:t>
            </w:r>
          </w:p>
        </w:tc>
      </w:tr>
    </w:tbl>
    <w:p>
      <w:pPr>
        <w:spacing w:after="80"/>
      </w:pPr>
    </w:p>
    <w:p>
      <w:pPr>
        <w:spacing w:before="80" w:after="200"/>
      </w:pPr>
      <w:r>
        <w:rPr>
          <w:i/>
          <w:color w:val="15803D"/>
          <w:sz w:val="20"/>
        </w:rPr>
        <w:t>Conclusão: nenhuma pendência de backend restante do qa/medicos.</w:t>
      </w:r>
    </w:p>
    <w:p>
      <w:pPr>
        <w:spacing w:before="400" w:after="160"/>
        <w:pBdr>
          <w:bottom w:val="single" w:sz="6" w:space="4" w:color="1a56db"/>
        </w:pBdr>
      </w:pPr>
      <w:r>
        <w:rPr>
          <w:b/>
          <w:color w:val="1A56DB"/>
          <w:sz w:val="30"/>
        </w:rPr>
        <w:t>Observações e recomendações</w:t>
      </w:r>
    </w:p>
    <w:p>
      <w:pPr>
        <w:pStyle w:val="ListBullet"/>
        <w:spacing w:after="80"/>
        <w:ind w:left="283"/>
      </w:pPr>
      <w:r>
        <w:rPr>
          <w:color w:val="1E293B"/>
          <w:sz w:val="21"/>
        </w:rPr>
        <w:t>O fluxo completo de autenticação (login, registro, esqueci/resetar senha) nunca passou por QA funcional dedicada — é o maior risco identificado, por ser a porta de entrada de todo o sistema.</w:t>
      </w:r>
    </w:p>
    <w:p>
      <w:pPr>
        <w:pStyle w:val="ListBullet"/>
        <w:spacing w:after="80"/>
        <w:ind w:left="283"/>
      </w:pPr>
      <w:r>
        <w:rPr>
          <w:color w:val="1E293B"/>
          <w:sz w:val="21"/>
        </w:rPr>
        <w:t>Agendamentos é provavelmente o módulo mais crítico ainda sem cobertura, por envolver agenda médica, horários e conflitos de marcação.</w:t>
      </w:r>
    </w:p>
    <w:p>
      <w:pPr>
        <w:pStyle w:val="ListBullet"/>
        <w:spacing w:after="80"/>
        <w:ind w:left="283"/>
      </w:pPr>
      <w:r>
        <w:rPr>
          <w:color w:val="1E293B"/>
          <w:sz w:val="21"/>
        </w:rPr>
        <w:t>qa/servico-medico foi mergiada na develop (PR #19) — os 5 módulos com QA funcional executada (Pacientes, Médicos, Estabelecimentos, CRM, Serviços) estão todos na develop.</w:t>
      </w:r>
    </w:p>
    <w:p>
      <w:pPr>
        <w:pStyle w:val="ListBullet"/>
        <w:spacing w:after="80"/>
        <w:ind w:left="283"/>
      </w:pPr>
      <w:r>
        <w:rPr>
          <w:color w:val="1E293B"/>
          <w:sz w:val="21"/>
        </w:rPr>
        <w:t>A tela de Médicos (qa/medicos) foi mergiada diretamente na develop, sem passar por Pull Request no GitHub — fora do padrão observado nas demais QAs.</w:t>
      </w:r>
    </w:p>
    <w:p>
      <w:pPr>
        <w:pStyle w:val="ListBullet"/>
        <w:spacing w:after="80"/>
        <w:ind w:left="283"/>
      </w:pPr>
      <w:r>
        <w:rPr>
          <w:color w:val="1E293B"/>
          <w:sz w:val="21"/>
        </w:rPr>
        <w:t>Os bugs de backend do qa/medicos (M15, M16, M18, M55, M54) já foram todos corrigidos e mergiados — ver seção dedicada acima. O achado de Serviços (limpar Duração em edição não persiste) segue como limitação conhecida e deliberadamente não corrigida, por ser convenção global do backend (ModelMapper Conditions.isNotNull()) que afeta todos os endpoints de update do sistema, não só Serviços.</w:t>
      </w:r>
    </w:p>
    <w:p>
      <w:pPr>
        <w:spacing w:before="480"/>
      </w:pPr>
      <w:r>
        <w:rPr>
          <w:i/>
          <w:color w:val="94A3B8"/>
          <w:sz w:val="18"/>
        </w:rPr>
        <w:t>Gerado a partir do histórico de PRs e branches qa/* do repositório sgsm-front-medico.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