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jc w:val="center"/>
      </w:pPr>
      <w:r>
        <w:rPr>
          <w:b/>
          <w:color w:val="1A569E"/>
          <w:sz w:val="40"/>
        </w:rPr>
        <w:t>Pentest do Ecossistema SGSM com Strix</w:t>
      </w:r>
    </w:p>
    <w:p>
      <w:pPr>
        <w:spacing w:after="80"/>
        <w:jc w:val="center"/>
      </w:pPr>
      <w:r>
        <w:rPr>
          <w:color w:val="444444"/>
          <w:sz w:val="26"/>
        </w:rPr>
        <w:t>Resultados consolidados dos back-ends — sem alteração de código</w:t>
      </w:r>
    </w:p>
    <w:p>
      <w:pPr>
        <w:spacing w:after="400"/>
        <w:jc w:val="center"/>
      </w:pPr>
      <w:r>
        <w:rPr>
          <w:color w:val="888888"/>
          <w:sz w:val="20"/>
        </w:rPr>
        <w:t>SGSM  |  Segurança  |  Confidencial — não distribuir  |  2026-09-09</w:t>
      </w:r>
    </w:p>
    <w:tbl>
      <w:tblPr>
        <w:tblStyle w:val="TableGrid"/>
        <w:tblW w:type="auto" w:w="0"/>
        <w:tblLook w:firstColumn="1" w:firstRow="1" w:lastColumn="0" w:lastRow="0" w:noHBand="0" w:noVBand="1" w:val="04A0"/>
      </w:tblPr>
      <w:tblGrid>
        <w:gridCol w:w="9406"/>
      </w:tblGrid>
      <w:tr>
        <w:tc>
          <w:tcPr>
            <w:tcW w:type="dxa" w:w="9406"/>
            <w:shd w:val="clear" w:color="auto" w:fill="E2F0D9"/>
          </w:tcPr>
          <w:p>
            <w:pPr>
              <w:spacing w:before="80" w:after="80"/>
            </w:pPr>
            <w:r>
              <w:rPr>
                <w:color w:val="2E7D32"/>
                <w:sz w:val="22"/>
              </w:rPr>
              <w:t>✅  Nenhuma alteração de código foi feita durante os testes. Todos os alvos eram serviços locais de desenvolvimento com dados descartáveis. Este documento consolida os achados válidos das execuções do Strix registradas em C:\AmbienteDev\strix_runs\.</w:t>
            </w:r>
          </w:p>
        </w:tc>
      </w:tr>
    </w:tbl>
    <w:p/>
    <w:p>
      <w:pPr>
        <w:spacing w:before="360" w:after="100"/>
      </w:pPr>
      <w:r>
        <w:rPr>
          <w:b/>
          <w:color w:val="1A569E"/>
          <w:sz w:val="30"/>
        </w:rPr>
        <w:t>1. Resumo executivo</w:t>
      </w:r>
    </w:p>
    <w:p>
      <w:pPr>
        <w:spacing w:before="40" w:after="120"/>
      </w:pPr>
      <w:r>
        <w:rPr>
          <w:sz w:val="22"/>
        </w:rPr>
        <w:t>Os 4 back-ends do SGSM foram testados com o Strix (pentest autônomo por agentes de IA), apontando para o código-fonte e para os serviços rodando localmente. O front-end (sgsm-front-medico) não foi testado nesta rodada — ver seção 5. Os repositórios sgsm-front e sgsm-auth foram excluídos do escopo por serem protótipos.</w:t>
      </w:r>
    </w:p>
    <w:tbl>
      <w:tblPr>
        <w:tblStyle w:val="TableGrid"/>
        <w:tblW w:type="auto" w:w="0"/>
        <w:tblLook w:firstColumn="1" w:firstRow="1" w:lastColumn="0" w:lastRow="0" w:noHBand="0" w:noVBand="1" w:val="04A0"/>
      </w:tblPr>
      <w:tblGrid>
        <w:gridCol w:w="2351"/>
        <w:gridCol w:w="2351"/>
        <w:gridCol w:w="2351"/>
        <w:gridCol w:w="2351"/>
      </w:tblGrid>
      <w:tr>
        <w:tc>
          <w:tcPr>
            <w:tcW w:type="dxa" w:w="2381"/>
            <w:shd w:val="clear" w:color="auto" w:fill="1A569E"/>
          </w:tcPr>
          <w:p>
            <w:r>
              <w:rPr>
                <w:b/>
                <w:color w:val="FFFFFF"/>
                <w:sz w:val="19"/>
              </w:rPr>
              <w:t>Alvo</w:t>
            </w:r>
          </w:p>
        </w:tc>
        <w:tc>
          <w:tcPr>
            <w:tcW w:type="dxa" w:w="1871"/>
            <w:shd w:val="clear" w:color="auto" w:fill="1A569E"/>
          </w:tcPr>
          <w:p>
            <w:r>
              <w:rPr>
                <w:b/>
                <w:color w:val="FFFFFF"/>
                <w:sz w:val="19"/>
              </w:rPr>
              <w:t>Run usado</w:t>
            </w:r>
          </w:p>
        </w:tc>
        <w:tc>
          <w:tcPr>
            <w:tcW w:type="dxa" w:w="3685"/>
            <w:shd w:val="clear" w:color="auto" w:fill="1A569E"/>
          </w:tcPr>
          <w:p>
            <w:r>
              <w:rPr>
                <w:b/>
                <w:color w:val="FFFFFF"/>
                <w:sz w:val="19"/>
              </w:rPr>
              <w:t>Resultado</w:t>
            </w:r>
          </w:p>
        </w:tc>
        <w:tc>
          <w:tcPr>
            <w:tcW w:type="dxa" w:w="1701"/>
            <w:shd w:val="clear" w:color="auto" w:fill="1A569E"/>
          </w:tcPr>
          <w:p>
            <w:r>
              <w:rPr>
                <w:b/>
                <w:color w:val="FFFFFF"/>
                <w:sz w:val="19"/>
              </w:rPr>
              <w:t>Vulnerabilidades confirmadas</w:t>
            </w:r>
          </w:p>
        </w:tc>
      </w:tr>
      <w:tr>
        <w:tc>
          <w:tcPr>
            <w:tcW w:type="dxa" w:w="2381"/>
            <w:shd w:val="clear" w:color="auto" w:fill="E2F0D9"/>
          </w:tcPr>
          <w:p>
            <w:r>
              <w:rPr>
                <w:sz w:val="19"/>
              </w:rPr>
              <w:t>ms-sboot-auth (8081)</w:t>
            </w:r>
          </w:p>
        </w:tc>
        <w:tc>
          <w:tcPr>
            <w:tcW w:type="dxa" w:w="1871"/>
            <w:shd w:val="clear" w:color="auto" w:fill="E2F0D9"/>
          </w:tcPr>
          <w:p>
            <w:r>
              <w:rPr>
                <w:sz w:val="19"/>
              </w:rPr>
              <w:t>ms-sboot-auth_9da5</w:t>
            </w:r>
          </w:p>
        </w:tc>
        <w:tc>
          <w:tcPr>
            <w:tcW w:type="dxa" w:w="3685"/>
            <w:shd w:val="clear" w:color="auto" w:fill="E2F0D9"/>
          </w:tcPr>
          <w:p>
            <w:r>
              <w:rPr>
                <w:sz w:val="19"/>
              </w:rPr>
              <w:t>Narrativa confirma riscos já mapeados; 0 validado formalmente</w:t>
            </w:r>
          </w:p>
        </w:tc>
        <w:tc>
          <w:tcPr>
            <w:tcW w:type="dxa" w:w="1701"/>
            <w:shd w:val="clear" w:color="auto" w:fill="E2F0D9"/>
          </w:tcPr>
          <w:p>
            <w:r>
              <w:rPr>
                <w:sz w:val="19"/>
              </w:rPr>
              <w:t>0 formal / 4 por analise de codigo</w:t>
            </w:r>
          </w:p>
        </w:tc>
      </w:tr>
      <w:tr>
        <w:tc>
          <w:tcPr>
            <w:tcW w:type="dxa" w:w="2381"/>
            <w:shd w:val="clear" w:color="auto" w:fill="E2F0D9"/>
          </w:tcPr>
          <w:p>
            <w:r>
              <w:rPr>
                <w:sz w:val="19"/>
              </w:rPr>
              <w:t>sgsm (8080)</w:t>
            </w:r>
          </w:p>
        </w:tc>
        <w:tc>
          <w:tcPr>
            <w:tcW w:type="dxa" w:w="1871"/>
            <w:shd w:val="clear" w:color="auto" w:fill="E2F0D9"/>
          </w:tcPr>
          <w:p>
            <w:r>
              <w:rPr>
                <w:sz w:val="19"/>
              </w:rPr>
              <w:t>sgsm_a3f8</w:t>
            </w:r>
          </w:p>
        </w:tc>
        <w:tc>
          <w:tcPr>
            <w:tcW w:type="dxa" w:w="3685"/>
            <w:shd w:val="clear" w:color="auto" w:fill="E2F0D9"/>
          </w:tcPr>
          <w:p>
            <w:r>
              <w:rPr>
                <w:sz w:val="19"/>
              </w:rPr>
              <w:t>2 vulnerabilidades CONFIRMADAS (validadas ao vivo)</w:t>
            </w:r>
          </w:p>
        </w:tc>
        <w:tc>
          <w:tcPr>
            <w:tcW w:type="dxa" w:w="1701"/>
            <w:shd w:val="clear" w:color="auto" w:fill="E2F0D9"/>
          </w:tcPr>
          <w:p>
            <w:r>
              <w:rPr>
                <w:sz w:val="19"/>
              </w:rPr>
              <w:t>2 (MEDIA)</w:t>
            </w:r>
          </w:p>
        </w:tc>
      </w:tr>
      <w:tr>
        <w:tc>
          <w:tcPr>
            <w:tcW w:type="dxa" w:w="2381"/>
            <w:shd w:val="clear" w:color="auto" w:fill="FFF3CD"/>
          </w:tcPr>
          <w:p>
            <w:r>
              <w:rPr>
                <w:sz w:val="19"/>
              </w:rPr>
              <w:t>sgsm-ia (8082)</w:t>
            </w:r>
          </w:p>
        </w:tc>
        <w:tc>
          <w:tcPr>
            <w:tcW w:type="dxa" w:w="1871"/>
            <w:shd w:val="clear" w:color="auto" w:fill="FFF3CD"/>
          </w:tcPr>
          <w:p>
            <w:r>
              <w:rPr>
                <w:sz w:val="19"/>
              </w:rPr>
              <w:t>sgsm-ia_ae72</w:t>
            </w:r>
          </w:p>
        </w:tc>
        <w:tc>
          <w:tcPr>
            <w:tcW w:type="dxa" w:w="3685"/>
            <w:shd w:val="clear" w:color="auto" w:fill="FFF3CD"/>
          </w:tcPr>
          <w:p>
            <w:r>
              <w:rPr>
                <w:sz w:val="19"/>
              </w:rPr>
              <w:t>0 encontradas — mas CONTRADIZ risco #5 ja mapeado por codigo. Nao confiavel.</w:t>
            </w:r>
          </w:p>
        </w:tc>
        <w:tc>
          <w:tcPr>
            <w:tcW w:type="dxa" w:w="1701"/>
            <w:shd w:val="clear" w:color="auto" w:fill="FFF3CD"/>
          </w:tcPr>
          <w:p>
            <w:r>
              <w:rPr>
                <w:sz w:val="19"/>
              </w:rPr>
              <w:t>0 (resultado suspeito)</w:t>
            </w:r>
          </w:p>
        </w:tc>
      </w:tr>
      <w:tr>
        <w:tc>
          <w:tcPr>
            <w:tcW w:type="dxa" w:w="2381"/>
            <w:shd w:val="clear" w:color="auto" w:fill="E2F0D9"/>
          </w:tcPr>
          <w:p>
            <w:r>
              <w:rPr>
                <w:sz w:val="19"/>
              </w:rPr>
              <w:t>ms-whatsapp-bot (8083)</w:t>
            </w:r>
          </w:p>
        </w:tc>
        <w:tc>
          <w:tcPr>
            <w:tcW w:type="dxa" w:w="1871"/>
            <w:shd w:val="clear" w:color="auto" w:fill="E2F0D9"/>
          </w:tcPr>
          <w:p>
            <w:r>
              <w:rPr>
                <w:sz w:val="19"/>
              </w:rPr>
              <w:t>ms-whatsapp-bot_94c8</w:t>
            </w:r>
          </w:p>
        </w:tc>
        <w:tc>
          <w:tcPr>
            <w:tcW w:type="dxa" w:w="3685"/>
            <w:shd w:val="clear" w:color="auto" w:fill="E2F0D9"/>
          </w:tcPr>
          <w:p>
            <w:r>
              <w:rPr>
                <w:sz w:val="19"/>
              </w:rPr>
              <w:t>1 vulnerabilidade CONFIRMADA (validada ao vivo)</w:t>
            </w:r>
          </w:p>
        </w:tc>
        <w:tc>
          <w:tcPr>
            <w:tcW w:type="dxa" w:w="1701"/>
            <w:shd w:val="clear" w:color="auto" w:fill="E2F0D9"/>
          </w:tcPr>
          <w:p>
            <w:r>
              <w:rPr>
                <w:sz w:val="19"/>
              </w:rPr>
              <w:t>1 (MEDIA)</w:t>
            </w:r>
          </w:p>
        </w:tc>
      </w:tr>
      <w:tr>
        <w:tc>
          <w:tcPr>
            <w:tcW w:type="dxa" w:w="2381"/>
            <w:shd w:val="clear" w:color="auto" w:fill="EDEDED"/>
          </w:tcPr>
          <w:p>
            <w:r>
              <w:rPr>
                <w:sz w:val="19"/>
              </w:rPr>
              <w:t>sgsm-front-medico (3001)</w:t>
            </w:r>
          </w:p>
        </w:tc>
        <w:tc>
          <w:tcPr>
            <w:tcW w:type="dxa" w:w="1871"/>
            <w:shd w:val="clear" w:color="auto" w:fill="EDEDED"/>
          </w:tcPr>
          <w:p>
            <w:r>
              <w:rPr>
                <w:sz w:val="19"/>
              </w:rPr>
              <w:t>-</w:t>
            </w:r>
          </w:p>
        </w:tc>
        <w:tc>
          <w:tcPr>
            <w:tcW w:type="dxa" w:w="3685"/>
            <w:shd w:val="clear" w:color="auto" w:fill="EDEDED"/>
          </w:tcPr>
          <w:p>
            <w:r>
              <w:rPr>
                <w:sz w:val="19"/>
              </w:rPr>
              <w:t>Nao testado - bloqueios de ambiente (ver secao 5)</w:t>
            </w:r>
          </w:p>
        </w:tc>
        <w:tc>
          <w:tcPr>
            <w:tcW w:type="dxa" w:w="1701"/>
            <w:shd w:val="clear" w:color="auto" w:fill="EDEDED"/>
          </w:tcPr>
          <w:p>
            <w:r>
              <w:rPr>
                <w:sz w:val="19"/>
              </w:rPr>
              <w:t>Pendente</w:t>
            </w:r>
          </w:p>
        </w:tc>
      </w:tr>
    </w:tbl>
    <w:p/>
    <w:tbl>
      <w:tblPr>
        <w:tblStyle w:val="TableGrid"/>
        <w:tblW w:type="auto" w:w="0"/>
        <w:tblLook w:firstColumn="1" w:firstRow="1" w:lastColumn="0" w:lastRow="0" w:noHBand="0" w:noVBand="1" w:val="04A0"/>
      </w:tblPr>
      <w:tblGrid>
        <w:gridCol w:w="9406"/>
      </w:tblGrid>
      <w:tr>
        <w:tc>
          <w:tcPr>
            <w:tcW w:type="dxa" w:w="9406"/>
            <w:shd w:val="clear" w:color="auto" w:fill="FFF3CD"/>
          </w:tcPr>
          <w:p>
            <w:pPr>
              <w:spacing w:before="80" w:after="80"/>
            </w:pPr>
            <w:r>
              <w:rPr>
                <w:color w:val="856A04"/>
                <w:sz w:val="22"/>
              </w:rPr>
              <w:t>⚠️  O modelo usado (ollama/gpt-oss:120b-cloud, via relay da nuvem Ollama) não é um modelo recomendado pelo Strix e mostrou instabilidade ao longo da sessão (erros internos, relatórios narrativos que se contradizem com os dados estruturados, e eventual esgotamento da cota mensal da conta). Resultados de "0 vulnerabilidades encontradas" devem ser lidos como 'não confirmado nesta rodada', não como 'confirmado seguro'. Os achados com vulnerabilidade CONFIRMADA (validados por requisição real, com findings.sarif preenchido) são confiáveis; o restante é indicativo.</w:t>
            </w:r>
          </w:p>
        </w:tc>
      </w:tr>
    </w:tbl>
    <w:p/>
    <w:p>
      <w:pPr>
        <w:spacing w:before="360" w:after="100"/>
      </w:pPr>
      <w:r>
        <w:rPr>
          <w:b/>
          <w:color w:val="1A569E"/>
          <w:sz w:val="30"/>
        </w:rPr>
        <w:t>2. Vulnerabilidades confirmadas (validadas com requisição real)</w:t>
      </w:r>
    </w:p>
    <w:p>
      <w:pPr>
        <w:spacing w:before="200" w:after="80"/>
      </w:pPr>
      <w:r>
        <w:rPr>
          <w:b/>
          <w:color w:val="C0292B"/>
          <w:sz w:val="24"/>
        </w:rPr>
        <w:t>2.1  POST /v1/api/medicos sem autenticação — sgsm</w:t>
      </w:r>
    </w:p>
    <w:p>
      <w:pPr>
        <w:spacing w:before="40" w:after="120"/>
      </w:pPr>
      <w:r>
        <w:rPr>
          <w:sz w:val="22"/>
        </w:rPr>
        <w:t>Severidade: MÉDIA · CVSS ~5.3 (AV:N/AC:L/PR:N/UI:N/S:U/C:L/I:N/A:L)</w:t>
      </w:r>
    </w:p>
    <w:p>
      <w:pPr>
        <w:spacing w:before="40" w:after="120"/>
      </w:pPr>
      <w:r>
        <w:rPr>
          <w:sz w:val="22"/>
        </w:rPr>
        <w:t>O endpoint aceita criação de registros de médico sem qualquer token de autenticação, permitindo inserção arbitrária de dados.</w:t>
      </w:r>
    </w:p>
    <w:p>
      <w:pPr>
        <w:spacing w:before="60" w:after="60"/>
        <w:ind w:left="283"/>
        <w:shd w:val="clear" w:color="auto" w:fill="F2F2F2"/>
      </w:pPr>
      <w:r>
        <w:rPr>
          <w:rFonts w:ascii="Courier New" w:hAnsi="Courier New"/>
          <w:color w:val="1E1E1E"/>
          <w:sz w:val="18"/>
        </w:rPr>
        <w:t>POST http://localhost:8080/v1/api/medicos  (sem Authorization header)</w:t>
        <w:br/>
        <w:t>-&gt; 201 Created</w:t>
      </w:r>
    </w:p>
    <w:p>
      <w:pPr>
        <w:spacing w:before="40" w:after="120"/>
      </w:pPr>
      <w:r>
        <w:rPr>
          <w:sz w:val="22"/>
        </w:rPr>
        <w:t>Correção já mapeada: sgsm/SecurityConfig.java:36 — remover permitAll() e restringir por role (hasAnyRole FUNCIONARIO, DESENVOLVEDOR) ou exigir token de convite.</w:t>
      </w:r>
    </w:p>
    <w:p>
      <w:pPr>
        <w:spacing w:after="80"/>
      </w:pPr>
    </w:p>
    <w:p>
      <w:pPr>
        <w:spacing w:before="200" w:after="80"/>
      </w:pPr>
      <w:r>
        <w:rPr>
          <w:b/>
          <w:color w:val="C0292B"/>
          <w:sz w:val="24"/>
        </w:rPr>
        <w:t>2.2  POST /v1/api/pacientes sem autenticação — sgsm</w:t>
      </w:r>
    </w:p>
    <w:p>
      <w:pPr>
        <w:spacing w:before="40" w:after="120"/>
      </w:pPr>
      <w:r>
        <w:rPr>
          <w:sz w:val="22"/>
        </w:rPr>
        <w:t>Severidade: MÉDIA · CVSS ~5.3 (AV:N/AC:L/PR:N/UI:N/S:U/C:L/I:N/A:L)</w:t>
      </w:r>
    </w:p>
    <w:p>
      <w:pPr>
        <w:spacing w:before="40" w:after="120"/>
      </w:pPr>
      <w:r>
        <w:rPr>
          <w:sz w:val="22"/>
        </w:rPr>
        <w:t>Mesmo padrão do item anterior: permite criação em massa de perfis de paciente falsos, com risco de poluição de dados e exposição LGPD.</w:t>
      </w:r>
    </w:p>
    <w:p>
      <w:pPr>
        <w:spacing w:before="60" w:after="60"/>
        <w:ind w:left="283"/>
        <w:shd w:val="clear" w:color="auto" w:fill="F2F2F2"/>
      </w:pPr>
      <w:r>
        <w:rPr>
          <w:rFonts w:ascii="Courier New" w:hAnsi="Courier New"/>
          <w:color w:val="1E1E1E"/>
          <w:sz w:val="18"/>
        </w:rPr>
        <w:t>POST http://localhost:8080/v1/api/pacientes  (sem Authorization header)</w:t>
        <w:br/>
        <w:t>-&gt; 201 Created</w:t>
      </w:r>
    </w:p>
    <w:p>
      <w:pPr>
        <w:spacing w:before="40" w:after="120"/>
      </w:pPr>
      <w:r>
        <w:rPr>
          <w:sz w:val="22"/>
        </w:rPr>
        <w:t>Correção já mapeada: sgsm/SecurityConfig.java:37.</w:t>
      </w:r>
    </w:p>
    <w:p>
      <w:pPr>
        <w:spacing w:after="80"/>
      </w:pPr>
    </w:p>
    <w:p>
      <w:pPr>
        <w:spacing w:before="200" w:after="80"/>
      </w:pPr>
      <w:r>
        <w:rPr>
          <w:b/>
          <w:color w:val="C0292B"/>
          <w:sz w:val="24"/>
        </w:rPr>
        <w:t>2.3  Webhook /webhook/evolution sem validação de assinatura — ms-whatsapp-bot</w:t>
      </w:r>
    </w:p>
    <w:p>
      <w:pPr>
        <w:spacing w:before="40" w:after="120"/>
      </w:pPr>
      <w:r>
        <w:rPr>
          <w:sz w:val="22"/>
        </w:rPr>
        <w:t>Severidade: MÉDIA · CVSS 6.5 · CWE-287 (Improper Authentication)</w:t>
      </w:r>
    </w:p>
    <w:p>
      <w:pPr>
        <w:spacing w:before="40" w:after="120"/>
      </w:pPr>
      <w:r>
        <w:rPr>
          <w:sz w:val="22"/>
        </w:rPr>
        <w:t>O endpoint aceita qualquer payload POST sem verificar assinatura HMAC ou API key, permitindo forjar eventos como se viessem de qualquer número de telefone.</w:t>
      </w:r>
    </w:p>
    <w:p>
      <w:pPr>
        <w:spacing w:before="60" w:after="60"/>
        <w:ind w:left="283"/>
        <w:shd w:val="clear" w:color="auto" w:fill="F2F2F2"/>
      </w:pPr>
      <w:r>
        <w:rPr>
          <w:rFonts w:ascii="Courier New" w:hAnsi="Courier New"/>
          <w:color w:val="1E1E1E"/>
          <w:sz w:val="18"/>
        </w:rPr>
        <w:t>POST http://localhost:8083/webhook/evolution</w:t>
        <w:br/>
        <w:t>Body: {"phone":"+19998887777","message":"test"}  (sem apikey/assinatura)</w:t>
        <w:br/>
        <w:t>-&gt; 200 OK</w:t>
      </w:r>
    </w:p>
    <w:p>
      <w:pPr>
        <w:spacing w:before="40" w:after="120"/>
      </w:pPr>
      <w:r>
        <w:rPr>
          <w:sz w:val="22"/>
        </w:rPr>
        <w:t>Impacto: spam, phishing ou abuso do bot fingindo ser outro número, inclusive um médico com sessão já autenticada. Correção já mapeada: WebhookController.java — validar o header apikey contra BotProperties.evolution().webhookSecret(), hoje injetado mas nunca lido.</w:t>
      </w:r>
    </w:p>
    <w:p>
      <w:pPr>
        <w:spacing w:before="360" w:after="100"/>
      </w:pPr>
      <w:r>
        <w:rPr>
          <w:b/>
          <w:color w:val="1A569E"/>
          <w:sz w:val="30"/>
        </w:rPr>
        <w:t>3. ms-sboot-auth — achados por análise (não validados formalmente pelo Strix)</w:t>
      </w:r>
    </w:p>
    <w:p>
      <w:pPr>
        <w:spacing w:before="40" w:after="120"/>
      </w:pPr>
      <w:r>
        <w:rPr>
          <w:sz w:val="22"/>
        </w:rPr>
        <w:t>O run ms-sboot-auth_9da5 gerou um relatório narrativo coerente com os riscos já mapeados por leitura de código, mas o findings.sarif ficou vazio (0 achados formais) devido a instabilidade do modelo durante a execução (erros internos do relay Ollama forçaram dezenas de retries). Esses itens já eram conhecidos por análise manual de código antes deste pentest e continuam válidos:</w:t>
      </w:r>
    </w:p>
    <w:tbl>
      <w:tblPr>
        <w:tblStyle w:val="TableGrid"/>
        <w:tblW w:type="auto" w:w="0"/>
        <w:tblLook w:firstColumn="1" w:firstRow="1" w:lastColumn="0" w:lastRow="0" w:noHBand="0" w:noVBand="1" w:val="04A0"/>
      </w:tblPr>
      <w:tblGrid>
        <w:gridCol w:w="3135"/>
        <w:gridCol w:w="3135"/>
        <w:gridCol w:w="3135"/>
      </w:tblGrid>
      <w:tr>
        <w:tc>
          <w:tcPr>
            <w:tcW w:type="dxa" w:w="340"/>
            <w:shd w:val="clear" w:color="auto" w:fill="1A569E"/>
          </w:tcPr>
          <w:p>
            <w:r>
              <w:rPr>
                <w:b/>
                <w:color w:val="FFFFFF"/>
                <w:sz w:val="19"/>
              </w:rPr>
              <w:t>#</w:t>
            </w:r>
          </w:p>
        </w:tc>
        <w:tc>
          <w:tcPr>
            <w:tcW w:type="dxa" w:w="5613"/>
            <w:shd w:val="clear" w:color="auto" w:fill="1A569E"/>
          </w:tcPr>
          <w:p>
            <w:r>
              <w:rPr>
                <w:b/>
                <w:color w:val="FFFFFF"/>
                <w:sz w:val="19"/>
              </w:rPr>
              <w:t>Risco</w:t>
            </w:r>
          </w:p>
        </w:tc>
        <w:tc>
          <w:tcPr>
            <w:tcW w:type="dxa" w:w="3685"/>
            <w:shd w:val="clear" w:color="auto" w:fill="1A569E"/>
          </w:tcPr>
          <w:p>
            <w:r>
              <w:rPr>
                <w:b/>
                <w:color w:val="FFFFFF"/>
                <w:sz w:val="19"/>
              </w:rPr>
              <w:t>Onde</w:t>
            </w:r>
          </w:p>
        </w:tc>
      </w:tr>
      <w:tr>
        <w:tc>
          <w:tcPr>
            <w:tcW w:type="dxa" w:w="340"/>
          </w:tcPr>
          <w:p>
            <w:r>
              <w:rPr>
                <w:sz w:val="19"/>
              </w:rPr>
              <w:t>1</w:t>
            </w:r>
          </w:p>
        </w:tc>
        <w:tc>
          <w:tcPr>
            <w:tcW w:type="dxa" w:w="5613"/>
          </w:tcPr>
          <w:p>
            <w:r>
              <w:rPr>
                <w:sz w:val="19"/>
              </w:rPr>
              <w:t>OTP retorna o código na própria resposta HTTP (bypass de autenticação)</w:t>
            </w:r>
          </w:p>
        </w:tc>
        <w:tc>
          <w:tcPr>
            <w:tcW w:type="dxa" w:w="3685"/>
          </w:tcPr>
          <w:p>
            <w:r>
              <w:rPr>
                <w:sz w:val="19"/>
              </w:rPr>
              <w:t>OtpService.java:45</w:t>
            </w:r>
          </w:p>
        </w:tc>
      </w:tr>
      <w:tr>
        <w:tc>
          <w:tcPr>
            <w:tcW w:type="dxa" w:w="340"/>
          </w:tcPr>
          <w:p>
            <w:r>
              <w:rPr>
                <w:sz w:val="19"/>
              </w:rPr>
              <w:t>2</w:t>
            </w:r>
          </w:p>
        </w:tc>
        <w:tc>
          <w:tcPr>
            <w:tcW w:type="dxa" w:w="5613"/>
          </w:tcPr>
          <w:p>
            <w:r>
              <w:rPr>
                <w:sz w:val="19"/>
              </w:rPr>
              <w:t>POST /v1/api/auth/otp/gerar público (qualquer um dispara OTP de outro usuário)</w:t>
            </w:r>
          </w:p>
        </w:tc>
        <w:tc>
          <w:tcPr>
            <w:tcW w:type="dxa" w:w="3685"/>
          </w:tcPr>
          <w:p>
            <w:r>
              <w:rPr>
                <w:sz w:val="19"/>
              </w:rPr>
              <w:t>SecurityConfig — /v1/api/auth/** permitAll()</w:t>
            </w:r>
          </w:p>
        </w:tc>
      </w:tr>
      <w:tr>
        <w:tc>
          <w:tcPr>
            <w:tcW w:type="dxa" w:w="340"/>
          </w:tcPr>
          <w:p>
            <w:r>
              <w:rPr>
                <w:sz w:val="19"/>
              </w:rPr>
              <w:t>3</w:t>
            </w:r>
          </w:p>
        </w:tc>
        <w:tc>
          <w:tcPr>
            <w:tcW w:type="dxa" w:w="5613"/>
          </w:tcPr>
          <w:p>
            <w:r>
              <w:rPr>
                <w:sz w:val="19"/>
              </w:rPr>
              <w:t>OTP gerado com Math.random() (não é CSPRNG, previsível)</w:t>
            </w:r>
          </w:p>
        </w:tc>
        <w:tc>
          <w:tcPr>
            <w:tcW w:type="dxa" w:w="3685"/>
          </w:tcPr>
          <w:p>
            <w:r>
              <w:rPr>
                <w:sz w:val="19"/>
              </w:rPr>
              <w:t>OtpService.java:38</w:t>
            </w:r>
          </w:p>
        </w:tc>
      </w:tr>
      <w:tr>
        <w:tc>
          <w:tcPr>
            <w:tcW w:type="dxa" w:w="340"/>
          </w:tcPr>
          <w:p>
            <w:r>
              <w:rPr>
                <w:sz w:val="19"/>
              </w:rPr>
              <w:t>4</w:t>
            </w:r>
          </w:p>
        </w:tc>
        <w:tc>
          <w:tcPr>
            <w:tcW w:type="dxa" w:w="5613"/>
          </w:tcPr>
          <w:p>
            <w:r>
              <w:rPr>
                <w:sz w:val="19"/>
              </w:rPr>
              <w:t>Sem rate limiting em POST /v1/api/auth/login (brute force)</w:t>
            </w:r>
          </w:p>
        </w:tc>
        <w:tc>
          <w:tcPr>
            <w:tcW w:type="dxa" w:w="3685"/>
          </w:tcPr>
          <w:p>
            <w:r>
              <w:rPr>
                <w:sz w:val="19"/>
              </w:rPr>
              <w:t>AuthController.login()</w:t>
            </w:r>
          </w:p>
        </w:tc>
      </w:tr>
      <w:tr>
        <w:tc>
          <w:tcPr>
            <w:tcW w:type="dxa" w:w="340"/>
          </w:tcPr>
          <w:p>
            <w:r>
              <w:rPr>
                <w:sz w:val="19"/>
              </w:rPr>
              <w:t>5</w:t>
            </w:r>
          </w:p>
        </w:tc>
        <w:tc>
          <w:tcPr>
            <w:tcW w:type="dxa" w:w="5613"/>
          </w:tcPr>
          <w:p>
            <w:r>
              <w:rPr>
                <w:sz w:val="19"/>
              </w:rPr>
              <w:t>GET /email-disponivel e POST /esqueci-senha permitem enumerar e-mails cadastrados</w:t>
            </w:r>
          </w:p>
        </w:tc>
        <w:tc>
          <w:tcPr>
            <w:tcW w:type="dxa" w:w="3685"/>
          </w:tcPr>
          <w:p>
            <w:r>
              <w:rPr>
                <w:sz w:val="19"/>
              </w:rPr>
              <w:t>SecurityConfig — endpoints publicos</w:t>
            </w:r>
          </w:p>
        </w:tc>
      </w:tr>
    </w:tbl>
    <w:p/>
    <w:p>
      <w:pPr>
        <w:spacing w:before="40" w:after="120"/>
      </w:pPr>
      <w:r>
        <w:rPr>
          <w:sz w:val="22"/>
        </w:rPr>
        <w:t>Recomendação: tratar como pendente de correção direta no código (já documentado com esforço estimado no Risco_de_Seguranca.docx), independente de nova tentativa de validação automatizada.</w:t>
      </w:r>
    </w:p>
    <w:p>
      <w:pPr>
        <w:spacing w:before="360" w:after="100"/>
      </w:pPr>
      <w:r>
        <w:rPr>
          <w:b/>
          <w:color w:val="1A569E"/>
          <w:sz w:val="30"/>
        </w:rPr>
        <w:t>4. sgsm-ia — resultado inconclusivo (não aceitar como 'resolvido')</w:t>
      </w:r>
    </w:p>
    <w:p>
      <w:pPr>
        <w:spacing w:before="40" w:after="120"/>
      </w:pPr>
      <w:r>
        <w:rPr>
          <w:sz w:val="22"/>
        </w:rPr>
        <w:t>O run sgsm-ia_ae72 (full-scope, testou API viva e código) concluiu que o RAG valida corretamente o referenciaId e bloqueia acesso cruzado entre usuários (HTTP 403). Esse resultado CONTRADIZ o risco já mapeado por leitura direta do código-fonte:</w:t>
      </w:r>
    </w:p>
    <w:p>
      <w:pPr>
        <w:spacing w:before="60" w:after="60"/>
        <w:ind w:left="283"/>
        <w:shd w:val="clear" w:color="auto" w:fill="F2F2F2"/>
      </w:pPr>
      <w:r>
        <w:rPr>
          <w:rFonts w:ascii="Courier New" w:hAnsi="Courier New"/>
          <w:color w:val="1E1E1E"/>
          <w:sz w:val="18"/>
        </w:rPr>
        <w:t>// MilvusIndexService.java:96-97</w:t>
        <w:br/>
        <w:t>public List&lt;EmbeddingMatch&lt;TextSegment&gt;&gt; buscar(String pergunta) {</w:t>
        <w:br/>
        <w:t xml:space="preserve">    return buscar(pergunta, null);  // sem filtro de usuario</w:t>
        <w:br/>
        <w:t>}</w:t>
        <w:br/>
        <w:br/>
        <w:t>// WhatsAppService.java:103 — usa exatamente essa variante sem filtro</w:t>
      </w:r>
    </w:p>
    <w:tbl>
      <w:tblPr>
        <w:tblStyle w:val="TableGrid"/>
        <w:tblW w:type="auto" w:w="0"/>
        <w:tblLook w:firstColumn="1" w:firstRow="1" w:lastColumn="0" w:lastRow="0" w:noHBand="0" w:noVBand="1" w:val="04A0"/>
      </w:tblPr>
      <w:tblGrid>
        <w:gridCol w:w="9406"/>
      </w:tblGrid>
      <w:tr>
        <w:tc>
          <w:tcPr>
            <w:tcW w:type="dxa" w:w="9406"/>
            <w:shd w:val="clear" w:color="auto" w:fill="FFF3CD"/>
          </w:tcPr>
          <w:p>
            <w:pPr>
              <w:spacing w:before="80" w:after="80"/>
            </w:pPr>
            <w:r>
              <w:rPr>
                <w:color w:val="856A04"/>
                <w:sz w:val="22"/>
              </w:rPr>
              <w:t>Hipótese mais provável: o Strix testou os endpoints diretos /ia/chat e /ia/busca (que podem filtrar corretamente), mas não exercitou o caminho interno usado por ms-whatsapp-bot -&gt; WhatsAppService.classificar() (que é o trecho realmente citado como vulnerável), por não ser uma rota HTTP direta testável de fora. Recomenda-se reverificação manual desse caminho específico antes de considerar o risco #5 resolvido.</w:t>
            </w:r>
          </w:p>
        </w:tc>
      </w:tr>
    </w:tbl>
    <w:p/>
    <w:p>
      <w:pPr>
        <w:spacing w:before="360" w:after="100"/>
      </w:pPr>
      <w:r>
        <w:rPr>
          <w:b/>
          <w:color w:val="1A569E"/>
          <w:sz w:val="30"/>
        </w:rPr>
        <w:t>5. Não testado e limitações do ambiente</w:t>
      </w:r>
    </w:p>
    <w:p>
      <w:pPr>
        <w:spacing w:before="200" w:after="80"/>
      </w:pPr>
      <w:r>
        <w:rPr>
          <w:b/>
          <w:color w:val="2C2C2C"/>
          <w:sz w:val="24"/>
        </w:rPr>
        <w:t>sgsm-front-medico — não testado</w:t>
      </w:r>
    </w:p>
    <w:p>
      <w:pPr>
        <w:pStyle w:val="ListBullet"/>
        <w:spacing w:before="20" w:after="40"/>
      </w:pPr>
      <w:r>
        <w:rPr>
          <w:sz w:val="22"/>
        </w:rPr>
        <w:t>1ª tentativa: o Vite escutava só em [::1]:3001 (loopback), inacessível pelo sandbox Docker do Strix via host.docker.internal.</w:t>
      </w:r>
    </w:p>
    <w:p>
      <w:pPr>
        <w:pStyle w:val="ListBullet"/>
        <w:spacing w:before="20" w:after="40"/>
      </w:pPr>
      <w:r>
        <w:rPr>
          <w:sz w:val="22"/>
        </w:rPr>
        <w:t>Contorno aplicado: subida uma segunda instância em 0.0.0.0:3002 (npm run dev -- --port 3002 --host 0.0.0.0), sem alterar vite.config.ts.</w:t>
      </w:r>
    </w:p>
    <w:p>
      <w:pPr>
        <w:pStyle w:val="ListBullet"/>
        <w:spacing w:before="20" w:after="40"/>
      </w:pPr>
      <w:r>
        <w:rPr>
          <w:sz w:val="22"/>
        </w:rPr>
        <w:t>2ª tentativa: falhou por esgotamento da cota mensal da conta Ollama Cloud ("you have reached your monthly usage limit") — bloqueio de conta, não do ambiente SGSM.</w:t>
      </w:r>
    </w:p>
    <w:p>
      <w:pPr>
        <w:spacing w:before="200" w:after="80"/>
      </w:pPr>
      <w:r>
        <w:rPr>
          <w:b/>
          <w:color w:val="2C2C2C"/>
          <w:sz w:val="24"/>
        </w:rPr>
        <w:t>Outras limitações observadas durante a sessão</w:t>
      </w:r>
    </w:p>
    <w:p>
      <w:pPr>
        <w:pStyle w:val="ListBullet"/>
        <w:spacing w:before="20" w:after="40"/>
      </w:pPr>
      <w:r>
        <w:rPr>
          <w:sz w:val="22"/>
        </w:rPr>
        <w:t>Modelo ollama/gpt-oss:120b-cloud não é recomendado pelo Strix para pentest (lista oficial recomenda GPT-5.x, Claude Opus/Sonnet 5, Gemini, DeepSeek-v4, entre outros).</w:t>
      </w:r>
    </w:p>
    <w:p>
      <w:pPr>
        <w:pStyle w:val="ListBullet"/>
        <w:spacing w:before="20" w:after="40"/>
      </w:pPr>
      <w:r>
        <w:rPr>
          <w:sz w:val="22"/>
        </w:rPr>
        <w:t>Diversos runs em --scope-mode auto (padrão) trataram repositórios sem diff no git como "revisão de PR sem mudanças" e pularam o teste inteiro — corrigido usando --scope-mode full.</w:t>
      </w:r>
    </w:p>
    <w:p>
      <w:pPr>
        <w:pStyle w:val="ListBullet"/>
        <w:spacing w:before="20" w:after="40"/>
      </w:pPr>
      <w:r>
        <w:rPr>
          <w:sz w:val="22"/>
        </w:rPr>
        <w:t>Múltiplos runs falharam por instabilidade do sandbox Docker (rede/mount inacessível); um reinício do Docker Desktop foi necessário no meio da sessão.</w:t>
      </w:r>
    </w:p>
    <w:p>
      <w:pPr>
        <w:pStyle w:val="ListBullet"/>
        <w:spacing w:before="20" w:after="40"/>
      </w:pPr>
      <w:r>
        <w:rPr>
          <w:sz w:val="22"/>
        </w:rPr>
        <w:t>A conta Ollama Cloud usada atingiu o limite mensal de uso, impedindo novas execuções até upgrade/créditos ou troca de modelo.</w:t>
      </w:r>
    </w:p>
    <w:p>
      <w:pPr>
        <w:spacing w:before="360" w:after="100"/>
      </w:pPr>
      <w:r>
        <w:rPr>
          <w:b/>
          <w:color w:val="1A569E"/>
          <w:sz w:val="30"/>
        </w:rPr>
        <w:t>6. Próximos passos recomendados</w:t>
      </w:r>
    </w:p>
    <w:p>
      <w:pPr>
        <w:pStyle w:val="ListBullet"/>
        <w:spacing w:before="20" w:after="40"/>
      </w:pPr>
      <w:r>
        <w:rPr>
          <w:sz w:val="22"/>
        </w:rPr>
        <w:t>Corrigir as 3 vulnerabilidades CONFIRMADAS (2 em sgsm, 1 em ms-whatsapp-bot) — já têm correção mapeada no código.</w:t>
      </w:r>
    </w:p>
    <w:p>
      <w:pPr>
        <w:pStyle w:val="ListBullet"/>
        <w:spacing w:before="20" w:after="40"/>
      </w:pPr>
      <w:r>
        <w:rPr>
          <w:sz w:val="22"/>
        </w:rPr>
        <w:t>Corrigir os 5 itens de ms-sboot-auth já documentados (OTP, rate limiting, enumeração de e-mail) — independentes de nova validação automatizada.</w:t>
      </w:r>
    </w:p>
    <w:p>
      <w:pPr>
        <w:pStyle w:val="ListBullet"/>
        <w:spacing w:before="20" w:after="40"/>
      </w:pPr>
      <w:r>
        <w:rPr>
          <w:sz w:val="22"/>
        </w:rPr>
        <w:t>Reverificar manualmente o filtro de referenciaId no caminho WhatsAppService -&gt; MilvusIndexService.buscar() do sgsm-ia antes de descartar o risco #5.</w:t>
      </w:r>
    </w:p>
    <w:p>
      <w:pPr>
        <w:pStyle w:val="ListBullet"/>
        <w:spacing w:before="20" w:after="40"/>
      </w:pPr>
      <w:r>
        <w:rPr>
          <w:sz w:val="22"/>
        </w:rPr>
        <w:t>Rodar o sgsm-front-medico assim que houver cota de LLM disponível (Ollama upgrade, outro modelo local, ou chave de outro provedor).</w:t>
      </w:r>
    </w:p>
    <w:p>
      <w:pPr>
        <w:pStyle w:val="ListBullet"/>
        <w:spacing w:before="20" w:after="40"/>
      </w:pPr>
      <w:r>
        <w:rPr>
          <w:sz w:val="22"/>
        </w:rPr>
        <w:t>Considerar um modelo recomendado pelo Strix (ex.: um dos listados oficialmente) para uma rodada de validação mais confiável, dado o histórico de instabilidade do gpt-oss:120b-cloud nesta sessão.</w:t>
      </w:r>
    </w:p>
    <w:p>
      <w:pPr>
        <w:jc w:val="center"/>
      </w:pPr>
      <w:r>
        <w:rPr>
          <w:color w:val="AAAAAA"/>
          <w:sz w:val="18"/>
        </w:rPr>
        <w:t>SGSM — Pentest com Strix — Resultados Consolidados  |  2026-09-09</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