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A MP real consumida (MP que entrou no ponto 3 menos a sobra real indicada no campo "Sobra de MP (kg)") é apresentada em kg e em sacos inteiros de matéria-prima de 25 kg mais o restante em kg (ex.: 28 sacos de 25 kg + 2 kg). A sobra teórica mostra a diferença entre o consumo real e o teórico dos sacos produzidos, e o ME consumido é detalhado em sacos e scoops. Ao fechar a produção, o cronómetro do tempo decorrido reinicia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</w:rPr>
        <w:t xml:space="preserve">No separador "Produto acabado" do BOM, as paletes surgem em linhas com pesquisa (produto, palete ou lote) e um filtro por Tudo, data de produção, lote ou data de registo.</w:t>
      </w:r>
    </w:p>
    <w:p>
      <w:pPr>
        <w:spacing w:after="120"/>
      </w:pPr>
      <w:r>
        <w:rPr>
          <w:i w:val="false"/>
          <w:iCs w:val="false"/>
        </w:rPr>
        <w:t xml:space="preserve">Cada linha tem um botão de edição (lápis) para corrigir os dados da palete — produto, palete, quantidade, lote, validade, data de produção e destino HQ/B2B.</w:t>
      </w:r>
    </w:p>
    <w:p>
      <w:pPr>
        <w:spacing w:after="120"/>
      </w:pPr>
      <w:r>
        <w:rPr>
          <w:i w:val="false"/>
          <w:iCs w:val="false"/>
        </w:rPr>
        <w:t xml:space="preserve">Na página de Saída de Produto Acabado, ao dar entrada manual de uma palete escolhe também o destino (HQ ou B2B). Se o número da palete já existir no sistema (mesmo já expedida), a aplicação bloqueia a criação e mostra um alerta com a opção de editar o registo existente.</w:t>
      </w:r>
    </w:p>
    <w:p>
      <w:pPr>
        <w:spacing w:after="120"/>
      </w:pPr>
      <w:r>
        <w:rPr>
          <w:i w:val="false"/>
          <w:iCs w:val="false"/>
        </w:rPr>
        <w:t xml:space="preserve">Cada linha tem também botões para editar (enquanto não estiver expedida) e eliminar a palete, além de validar armazém e registar a expedição.</w:t>
      </w:r>
    </w:p>
    <w:p>
      <w:pPr>
        <w:spacing w:after="120"/>
      </w:pPr>
      <w:r>
        <w:rPr>
          <w:i w:val="false"/>
          <w:iCs w:val="false"/>
        </w:rPr>
        <w:t xml:space="preserve">A página tem pesquisa e ordenação (por ordem de entrada, nº da palete, lote ou quantidade, crescente ou decrescente), e mostra no fundo um resumo do armazém: total de paletes, paletes por peso (500 g e 1 kg), total de sacos e sacos por peso.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2026-09-16T10:14:32.589Z</dcterms:created>
  <dcterms:modified xsi:type="dcterms:W3CDTF">2026-09-16T10:14:32.591Z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