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de matéria-prima de 25 kg.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2026-09-15T15:24:38.323Z</dcterms:created>
  <dcterms:modified xsi:type="dcterms:W3CDTF">2026-09-15T15:24:38.325Z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