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Flujo de Autenticación y Notificación</w:t>
      </w:r>
    </w:p>
    <w:p>
      <w:r>
        <w:t>Resumen del flujo de propagación del token JWT entre Supernet, Gateway, Gestión Llaves, SANBA y Notificar Cambios.</w:t>
      </w:r>
    </w:p>
    <w:p>
      <w:pPr>
        <w:pStyle w:val="Heading2"/>
      </w:pPr>
      <w:r>
        <w:t>1. Supernet consume el Gateway</w:t>
      </w:r>
    </w:p>
    <w:p>
      <w:r>
        <w:t>Supernet realiza la petición inicial hacia el Gateway.</w:t>
      </w:r>
    </w:p>
    <w:p>
      <w:pPr>
        <w:pStyle w:val="Heading2"/>
      </w:pPr>
      <w:r>
        <w:t>2. Gateway obtiene el token y consume Gestión Llaves</w:t>
      </w:r>
    </w:p>
    <w:p>
      <w:r>
        <w:t>El Gateway se autentica contra Auth para obtener el token JWT.</w:t>
      </w:r>
    </w:p>
    <w:p>
      <w:r>
        <w:t>Posteriormente consume el servicio Gestión Llaves utilizando el endpoint:</w:t>
      </w:r>
    </w:p>
    <w:p>
      <w:pPr>
        <w:pStyle w:val="IntenseQuote"/>
      </w:pPr>
      <w:r>
        <w:t>https://breb.api.pre.santander.com.co/consulta/api/NotificarProcesoLlave</w:t>
      </w:r>
    </w:p>
    <w:p>
      <w:r>
        <w:t>La llamada incluye el header Authorization con el Bearer Token.</w:t>
      </w:r>
    </w:p>
    <w:p>
      <w:pPr>
        <w:pStyle w:val="Heading2"/>
      </w:pPr>
      <w:r>
        <w:t>3. Gestión Llaves recibe y reutiliza el token</w:t>
      </w:r>
    </w:p>
    <w:p>
      <w:r>
        <w:t>En el endpoint NotificarProcesoLlave se obtiene el token desde:</w:t>
      </w:r>
    </w:p>
    <w:p>
      <w:pPr>
        <w:pStyle w:val="IntenseQuote"/>
      </w:pPr>
      <w:r>
        <w:t>const token = request.headers.authorization;</w:t>
      </w:r>
    </w:p>
    <w:p>
      <w:r>
        <w:t>El token recibido es reutilizado para las siguientes integraciones.</w:t>
      </w:r>
    </w:p>
    <w:p>
      <w:pPr>
        <w:pStyle w:val="Heading2"/>
      </w:pPr>
      <w:r>
        <w:t>4. Gestión Llaves consume SANBA</w:t>
      </w:r>
    </w:p>
    <w:p>
      <w:r>
        <w:t>Gestión Llaves consume SANBA propagando el mismo token JWT en el header Authorization.</w:t>
      </w:r>
    </w:p>
    <w:p>
      <w:pPr>
        <w:pStyle w:val="Heading2"/>
      </w:pPr>
      <w:r>
        <w:t>5. Gestión Llaves consume Notificar Cambios</w:t>
      </w:r>
    </w:p>
    <w:p>
      <w:r>
        <w:t>Posteriormente Gestión Llaves consume el servicio Notificar Cambios utilizando el mismo token recibido inicialmente.</w:t>
      </w:r>
    </w:p>
    <w:p>
      <w:r>
        <w:t>Endpoint consumido:</w:t>
      </w:r>
    </w:p>
    <w:p>
      <w:pPr>
        <w:pStyle w:val="IntenseQuote"/>
      </w:pPr>
      <w:r>
        <w:t>https://breb.api.pre.santander.com.co/supernetback/Tailored.ICBanking.WebApi.BO/api/administration/ClientsCustomEnvioNotificacion</w:t>
      </w:r>
    </w:p>
    <w:p>
      <w:pPr>
        <w:pStyle w:val="Heading2"/>
      </w:pPr>
      <w:r>
        <w:t>Resumen del flujo</w:t>
      </w:r>
    </w:p>
    <w:p>
      <w:r>
        <w:t>Supernet → Gateway → Auth → Gestión Llaves → SANBA → Notificar Cambios</w:t>
      </w:r>
    </w:p>
    <w:p>
      <w:pPr>
        <w:pStyle w:val="Heading2"/>
      </w:pPr>
      <w:r>
        <w:t>Puntos importantes</w:t>
      </w:r>
    </w:p>
    <w:p>
      <w:pPr>
        <w:pStyle w:val="ListBullet"/>
      </w:pPr>
      <w:r>
        <w:t>El token JWT es obtenido por el Gateway desde Auth.</w:t>
      </w:r>
    </w:p>
    <w:p>
      <w:pPr>
        <w:pStyle w:val="ListBullet"/>
      </w:pPr>
      <w:r>
        <w:t>Gestión Llaves no genera el token, únicamente lo reutiliza.</w:t>
      </w:r>
    </w:p>
    <w:p>
      <w:pPr>
        <w:pStyle w:val="ListBullet"/>
      </w:pPr>
      <w:r>
        <w:t>El token se obtiene desde request.headers.authorization.</w:t>
      </w:r>
    </w:p>
    <w:p>
      <w:pPr>
        <w:pStyle w:val="ListBullet"/>
      </w:pPr>
      <w:r>
        <w:t>El mismo token se propaga hacia SANBA y Notificar Cambios.</w:t>
      </w:r>
    </w:p>
    <w:p>
      <w:pPr>
        <w:pStyle w:val="ListBullet"/>
      </w:pPr>
      <w:r>
        <w:t>La autenticación se mantiene extremo a extremo mediante el header Authorization.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