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Técnico - Flujo Completo Submit Formulario y KYC (Escenario Riesgo Alto)</w:t>
      </w:r>
    </w:p>
    <w:p>
      <w:r>
        <w:t>Fecha: 2026-03-01 18:30:23</w:t>
      </w:r>
    </w:p>
    <w:p>
      <w:pPr>
        <w:pStyle w:val="Heading2"/>
      </w:pPr>
      <w:r>
        <w:t>1. Petición del Frontend</w:t>
      </w:r>
    </w:p>
    <w:p>
      <w:r>
        <w:t>El frontend ejecuta una petición HTTP POST al endpoint /customers/me/forms/{formId}/submit. En este escenario se utiliza el formId e40c21e7-d5a3-4149-9397-c5a431bb4836.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_fr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Construcción del Proceso KYC</w:t>
      </w:r>
    </w:p>
    <w:p>
      <w:r>
        <w:t>El backend recupera las respuestas desde caché y construye el objeto KycProcessCdo, incluyendo documento del cliente y cuestionarios mapeados.</w:t>
      </w:r>
    </w:p>
    <w:p>
      <w:pPr>
        <w:pStyle w:val="Heading2"/>
      </w:pPr>
      <w:r>
        <w:t>3. Consumo del Servicio /v2/know_your_customer/</w:t>
      </w:r>
    </w:p>
    <w:p>
      <w:r>
        <w:t>El sistema invoca el servicio KYC a través del cliente Feign KnowYourCustomerClient. Se simula una respuesta con riesgo alto.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yc_respon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Construcción del ResponseEntity</w:t>
      </w:r>
    </w:p>
    <w:p>
      <w:r>
        <w:t>Con base en la respuesta anterior se construye el siguiente Map interno:</w:t>
      </w:r>
    </w:p>
    <w:p>
      <w:r>
        <w:t>FORM_SUBMISSION_ID = a27d190b-6481-4900-9f9e-dc188c0f1ccb</w:t>
        <w:br/>
        <w:t>RISK_STATUS = Alto</w:t>
        <w:br/>
        <w:t>RISK_DECISION = REQUIERE_ANALISIS</w:t>
      </w:r>
    </w:p>
    <w:p>
      <w:pPr>
        <w:pStyle w:val="Heading2"/>
      </w:pPr>
      <w:r>
        <w:t>5. Flujo General del Proceso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Respuesta Final al Frontend</w:t>
      </w:r>
    </w:p>
    <w:p>
      <w:r>
        <w:t>El API retorna HTTP 201 Created con la siguiente estructura:</w:t>
      </w:r>
    </w:p>
    <w:p>
      <w:r>
        <w:t>{</w:t>
        <w:br/>
        <w:t xml:space="preserve">  'formInformation': {</w:t>
        <w:br/>
        <w:t xml:space="preserve">     'formCompleted': true,</w:t>
        <w:br/>
        <w:t xml:space="preserve">     'formId': 'e40c21e7-d5a3-4149-9397-c5a431bb4836',</w:t>
        <w:br/>
        <w:t xml:space="preserve">     'formSubmissionId': 'a27d190b-6481-4900-9f9e-dc188c0f1ccb',</w:t>
        <w:br/>
        <w:t xml:space="preserve">     'riskStatus': 'Alto',</w:t>
        <w:br/>
        <w:t xml:space="preserve">     'riskDecision': 'REQUIERE_ANALISIS',</w:t>
        <w:br/>
        <w:t xml:space="preserve">     'checksum': 'ejWLXoR3Y1'</w:t>
        <w:br/>
        <w:t xml:space="preserve">  }</w:t>
        <w:br/>
        <w:t>}</w:t>
      </w:r>
    </w:p>
    <w:p>
      <w:r>
        <w:t>En este escenario el riesgo alto se origina directamente desde el servicio KYC y es propagado sin modificación hasta la respuesta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