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Complemento para Informe Técnico - Capacidad Máxima de Conexiones del Componente</w:t>
      </w:r>
    </w:p>
    <w:p>
      <w:pPr>
        <w:pStyle w:val="Heading1"/>
      </w:pPr>
      <w:r>
        <w:t>Configuración HikariCP Observada</w:t>
      </w:r>
    </w:p>
    <w:p>
      <w:r>
        <w:br/>
        <w:t>spring.datasource.hikari:</w:t>
        <w:br/>
        <w:t>- minimum-idle: 1</w:t>
        <w:br/>
        <w:t>- maximum-pool-size: 2</w:t>
        <w:br/>
        <w:t>- idle-timeout: 36000</w:t>
        <w:br/>
        <w:t>- max-lifetime: 1800000</w:t>
        <w:br/>
        <w:t>- connection-timeout: 20000</w:t>
        <w:br/>
        <w:t>- leak-detection-threshold: 3000</w:t>
        <w:br/>
      </w:r>
    </w:p>
    <w:p>
      <w:r>
        <w:t>El parámetro más relevante es maximum-pool-size=2, lo que limita a cada instancia del componente a un máximo de 2 conexiones simultáneas hacia Oracle.</w:t>
      </w:r>
    </w:p>
    <w:p>
      <w:pPr>
        <w:pStyle w:val="Heading1"/>
      </w:pPr>
      <w:r>
        <w:t>Capacidad Máxima Teórica de Sesiones Oracle</w:t>
      </w:r>
    </w:p>
    <w:tbl>
      <w:tblPr>
        <w:tblStyle w:val="TableGrid"/>
        <w:tblW w:type="auto" w:w="0"/>
        <w:tblLook w:firstColumn="1" w:firstRow="1" w:lastColumn="0" w:lastRow="0" w:noHBand="0" w:noVBand="1" w:val="04A0"/>
      </w:tblPr>
      <w:tblGrid>
        <w:gridCol w:w="4320"/>
        <w:gridCol w:w="4320"/>
      </w:tblGrid>
      <w:tr>
        <w:tc>
          <w:tcPr>
            <w:tcW w:type="dxa" w:w="4320"/>
          </w:tcPr>
          <w:p>
            <w:r>
              <w:t>Instancias/Pods</w:t>
            </w:r>
          </w:p>
        </w:tc>
        <w:tc>
          <w:tcPr>
            <w:tcW w:type="dxa" w:w="4320"/>
          </w:tcPr>
          <w:p>
            <w:r>
              <w:t>Máximo de sesiones Oracle</w:t>
            </w:r>
          </w:p>
        </w:tc>
      </w:tr>
      <w:tr>
        <w:tc>
          <w:tcPr>
            <w:tcW w:type="dxa" w:w="4320"/>
          </w:tcPr>
          <w:p>
            <w:r>
              <w:t>1</w:t>
            </w:r>
          </w:p>
        </w:tc>
        <w:tc>
          <w:tcPr>
            <w:tcW w:type="dxa" w:w="4320"/>
          </w:tcPr>
          <w:p>
            <w:r>
              <w:t>2</w:t>
            </w:r>
          </w:p>
        </w:tc>
      </w:tr>
      <w:tr>
        <w:tc>
          <w:tcPr>
            <w:tcW w:type="dxa" w:w="4320"/>
          </w:tcPr>
          <w:p>
            <w:r>
              <w:t>2</w:t>
            </w:r>
          </w:p>
        </w:tc>
        <w:tc>
          <w:tcPr>
            <w:tcW w:type="dxa" w:w="4320"/>
          </w:tcPr>
          <w:p>
            <w:r>
              <w:t>4</w:t>
            </w:r>
          </w:p>
        </w:tc>
      </w:tr>
      <w:tr>
        <w:tc>
          <w:tcPr>
            <w:tcW w:type="dxa" w:w="4320"/>
          </w:tcPr>
          <w:p>
            <w:r>
              <w:t>5</w:t>
            </w:r>
          </w:p>
        </w:tc>
        <w:tc>
          <w:tcPr>
            <w:tcW w:type="dxa" w:w="4320"/>
          </w:tcPr>
          <w:p>
            <w:r>
              <w:t>10</w:t>
            </w:r>
          </w:p>
        </w:tc>
      </w:tr>
      <w:tr>
        <w:tc>
          <w:tcPr>
            <w:tcW w:type="dxa" w:w="4320"/>
          </w:tcPr>
          <w:p>
            <w:r>
              <w:t>10</w:t>
            </w:r>
          </w:p>
        </w:tc>
        <w:tc>
          <w:tcPr>
            <w:tcW w:type="dxa" w:w="4320"/>
          </w:tcPr>
          <w:p>
            <w:r>
              <w:t>20</w:t>
            </w:r>
          </w:p>
        </w:tc>
      </w:tr>
      <w:tr>
        <w:tc>
          <w:tcPr>
            <w:tcW w:type="dxa" w:w="4320"/>
          </w:tcPr>
          <w:p>
            <w:r>
              <w:t>20</w:t>
            </w:r>
          </w:p>
        </w:tc>
        <w:tc>
          <w:tcPr>
            <w:tcW w:type="dxa" w:w="4320"/>
          </w:tcPr>
          <w:p>
            <w:r>
              <w:t>40</w:t>
            </w:r>
          </w:p>
        </w:tc>
      </w:tr>
    </w:tbl>
    <w:p>
      <w:pPr>
        <w:pStyle w:val="Heading1"/>
      </w:pPr>
      <w:r>
        <w:t>Interpretación</w:t>
      </w:r>
    </w:p>
    <w:p>
      <w:r>
        <w:t>Incluso considerando múltiples instancias desplegadas, el número máximo de sesiones Oracle atribuibles al componente está limitado por la configuración del pool. Por ejemplo, con 10 pods desplegados el máximo teórico sería de 20 sesiones y con 20 pods sería de 40 sesiones.</w:t>
      </w:r>
    </w:p>
    <w:p>
      <w:r>
        <w:t>Durante el incidente se reportaron aproximadamente 4.000 sesiones abiertas en una base de datos compartida por múltiples aplicaciones. Con la configuración observada, no es posible atribuir ese volumen de sesiones a este componente sin demostrar previamente cuántas instancias estaban desplegadas y cuántas sesiones correspondían específicamente a este servicio.</w:t>
      </w:r>
    </w:p>
    <w:p>
      <w:pPr>
        <w:pStyle w:val="Heading1"/>
      </w:pPr>
      <w:r>
        <w:t>Conclusión Técnica</w:t>
      </w:r>
    </w:p>
    <w:p>
      <w:r>
        <w:t>Aun en el escenario extremo donde las conexiones no fueran liberadas correctamente, una instancia del servicio no podría exceder las 2 conexiones simultáneas definidas por su maximum-pool-size. Por lo tanto, la hipótesis de una contribución significativa al volumen global de 4.000 sesiones requiere evidencia adicional obtenida desde Oracle y desde las métricas de HikariCP.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