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Flujo de Autenticación y Notificación</w:t>
      </w:r>
    </w:p>
    <w:p>
      <w:r>
        <w:t>Resumen del flujo de propagación del token JWT entre Supernet, Gateway, Gestión Llaves, SANBA y Notificar Cambios.</w:t>
      </w:r>
    </w:p>
    <w:p>
      <w:pPr>
        <w:pStyle w:val="Heading2"/>
      </w:pPr>
      <w:r>
        <w:t>1. Supernet consume el API de Gestión Llaves</w:t>
      </w:r>
    </w:p>
    <w:p>
      <w:r>
        <w:t>Supernet realiza una petición al endpoint:</w:t>
      </w:r>
    </w:p>
    <w:p>
      <w:pPr>
        <w:pStyle w:val="IntenseQuote"/>
      </w:pPr>
      <w:r>
        <w:t>https://breb.api.pre.santander.com.co/consulta/api/NotificarProcesoLlave</w:t>
      </w:r>
    </w:p>
    <w:p>
      <w:r>
        <w:t>Incluyendo el header:</w:t>
      </w:r>
    </w:p>
    <w:p>
      <w:pPr>
        <w:pStyle w:val="IntenseQuote"/>
      </w:pPr>
      <w:r>
        <w:t>Authorization: Bearer &lt;token&gt;</w:t>
      </w:r>
    </w:p>
    <w:p>
      <w:pPr>
        <w:pStyle w:val="Heading2"/>
      </w:pPr>
      <w:r>
        <w:t>2. Gateway obtiene y propaga el token</w:t>
      </w:r>
    </w:p>
    <w:p>
      <w:r>
        <w:t>El Gateway valida/autentica contra Auth, obtiene el token JWT y reenvía la petición hacia Gestión Llaves manteniendo el header Authorization.</w:t>
      </w:r>
    </w:p>
    <w:p>
      <w:pPr>
        <w:pStyle w:val="Heading2"/>
      </w:pPr>
      <w:r>
        <w:t>3. Gestión Llaves recibe el token</w:t>
      </w:r>
    </w:p>
    <w:p>
      <w:r>
        <w:t>En el endpoint NotificarProcesoLlave se obtiene el token desde:</w:t>
      </w:r>
    </w:p>
    <w:p>
      <w:pPr>
        <w:pStyle w:val="IntenseQuote"/>
      </w:pPr>
      <w:r>
        <w:t>const token = request.headers.authorization;</w:t>
      </w:r>
    </w:p>
    <w:p>
      <w:pPr>
        <w:pStyle w:val="Heading2"/>
      </w:pPr>
      <w:r>
        <w:t>4. Gestión Llaves consume SANBA</w:t>
      </w:r>
    </w:p>
    <w:p>
      <w:r>
        <w:t>Gestión Llaves construye el cliente HTTP reutilizando el token recibido:</w:t>
      </w:r>
    </w:p>
    <w:p>
      <w:pPr>
        <w:pStyle w:val="IntenseQuote"/>
      </w:pPr>
      <w:r>
        <w:t>const httpClient = createHttpClient(config, token);</w:t>
      </w:r>
    </w:p>
    <w:p>
      <w:r>
        <w:t>El método createHttpClient agrega automáticamente el header Authorization en las peticiones Axios.</w:t>
      </w:r>
    </w:p>
    <w:p>
      <w:pPr>
        <w:pStyle w:val="Heading2"/>
      </w:pPr>
      <w:r>
        <w:t>5. Gestión Llaves invoca Notificar Cambios</w:t>
      </w:r>
    </w:p>
    <w:p>
      <w:r>
        <w:t>Posteriormente se ejecuta el servicio:</w:t>
      </w:r>
    </w:p>
    <w:p>
      <w:pPr>
        <w:pStyle w:val="IntenseQuote"/>
      </w:pPr>
      <w:r>
        <w:t>https://breb.api.pre.santander.com.co/supernetback/Tailored.ICBanking.WebApi.BO/api/administration/ClientsCustomEnvioNotificacion</w:t>
      </w:r>
    </w:p>
    <w:p>
      <w:pPr>
        <w:pStyle w:val="Heading2"/>
      </w:pPr>
      <w:r>
        <w:t>Resumen del flujo</w:t>
      </w:r>
    </w:p>
    <w:p>
      <w:r>
        <w:t>Supernet → Gateway → Gestión Llaves → SANBA → Notificar Cambios</w:t>
      </w:r>
    </w:p>
    <w:p>
      <w:pPr>
        <w:pStyle w:val="Heading2"/>
      </w:pPr>
      <w:r>
        <w:t>Puntos importantes</w:t>
      </w:r>
    </w:p>
    <w:p>
      <w:pPr>
        <w:pStyle w:val="ListBullet"/>
      </w:pPr>
      <w:r>
        <w:t>El token NO se genera en Gestión Llaves.</w:t>
      </w:r>
    </w:p>
    <w:p>
      <w:pPr>
        <w:pStyle w:val="ListBullet"/>
      </w:pPr>
      <w:r>
        <w:t>Gestión Llaves únicamente reutiliza el token recibido.</w:t>
      </w:r>
    </w:p>
    <w:p>
      <w:pPr>
        <w:pStyle w:val="ListBullet"/>
      </w:pPr>
      <w:r>
        <w:t>El token se obtiene desde request.headers.authorization.</w:t>
      </w:r>
    </w:p>
    <w:p>
      <w:pPr>
        <w:pStyle w:val="ListBullet"/>
      </w:pPr>
      <w:r>
        <w:t>El header Authorization se propaga entre servicios para mantener autenticación extremo a extremo.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