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Técnico - Flujo de Submit de Formulario y Proceso KYC (Riesgo Alto)</w:t>
      </w:r>
    </w:p>
    <w:p>
      <w:r>
        <w:t>Fecha de generación: 2026-03-01 18:15:01</w:t>
      </w:r>
    </w:p>
    <w:p>
      <w:pPr>
        <w:pStyle w:val="Heading2"/>
      </w:pPr>
      <w:r>
        <w:t>1. Introducción</w:t>
      </w:r>
    </w:p>
    <w:p>
      <w:r>
        <w:t>El presente documento describe el flujo técnico completo del proceso de envío de formulario a través del endpoint /customers/me/forms/{formId}/submit, incluyendo el consumo del servicio /v2/know_your_customer/ y la construcción de la respuesta final hacia el frontend. El escenario documentado simula un resultado de riesgo alto.</w:t>
      </w:r>
    </w:p>
    <w:p>
      <w:pPr>
        <w:pStyle w:val="Heading2"/>
      </w:pPr>
      <w:r>
        <w:t>2. Punto de Entrada - API REST</w:t>
      </w:r>
    </w:p>
    <w:p>
      <w:r>
        <w:t>El flujo inicia cuando el frontend ejecuta una petición HTTP POST al endpoint:</w:t>
      </w:r>
    </w:p>
    <w:p>
      <w:pPr>
        <w:pStyle w:val="IntenseQuote"/>
      </w:pPr>
      <w:r>
        <w:t>/customers/me/forms/{formId}/submit</w:t>
      </w:r>
    </w:p>
    <w:p>
      <w:r>
        <w:t>Este endpoint recibe como parámetro el formId y opcionalmente el productTypeTCode. No se envía el cuerpo completo del formulario en este punto, ya que las respuestas han sido almacenadas previamente en caché.</w:t>
      </w:r>
    </w:p>
    <w:p>
      <w:pPr>
        <w:pStyle w:val="Heading2"/>
      </w:pPr>
      <w:r>
        <w:t>3. Capa Controller</w:t>
      </w:r>
    </w:p>
    <w:p>
      <w:r>
        <w:t>El controlador invoca el caso de uso submitCompletedForm, el cual recibe el customerId obtenido del token y el formId proporcionado en la URL.</w:t>
      </w:r>
    </w:p>
    <w:p>
      <w:r>
        <w:t>En esta capa se realiza la delegación hacia la lógica de negocio encargada de procesar el envío definitivo del formulario.</w:t>
      </w:r>
    </w:p>
    <w:p>
      <w:pPr>
        <w:pStyle w:val="Heading2"/>
      </w:pPr>
      <w:r>
        <w:t>4. Recuperación de Datos desde Caché</w:t>
      </w:r>
    </w:p>
    <w:p>
      <w:r>
        <w:t>El método submitCompletedForm consulta el cacheFacade para recuperar el objeto UserFormData asociado al formId y customerId. Este objeto contiene las respuestas completadas por el usuario.</w:t>
      </w:r>
    </w:p>
    <w:p>
      <w:pPr>
        <w:pStyle w:val="Heading2"/>
      </w:pPr>
      <w:r>
        <w:t>5. Método submitUserForm</w:t>
      </w:r>
    </w:p>
    <w:p>
      <w:r>
        <w:t>Posteriormente se invoca el método submitUserForm, el cual determina si el envío debe realizarse con OTP o sin OTP. En el caso de withOtp=true, se llama al método:</w:t>
      </w:r>
    </w:p>
    <w:p>
      <w:pPr>
        <w:pStyle w:val="IntenseQuote"/>
      </w:pPr>
      <w:r>
        <w:t>formsBaseFacade.submitForm(...)</w:t>
      </w:r>
    </w:p>
    <w:p>
      <w:r>
        <w:t>Este método delega finalmente al proceso interno submitFormAll.</w:t>
      </w:r>
    </w:p>
    <w:p>
      <w:pPr>
        <w:pStyle w:val="Heading2"/>
      </w:pPr>
      <w:r>
        <w:t>6. Construcción del Proceso KYC</w:t>
      </w:r>
    </w:p>
    <w:p>
      <w:r>
        <w:t>En submitFormAll se construye el objeto KycProcessCdo. Se realiza lo siguiente:</w:t>
      </w:r>
    </w:p>
    <w:p>
      <w:r>
        <w:t>- Se obtiene el documento del cliente desde Horizon.</w:t>
      </w:r>
    </w:p>
    <w:p>
      <w:r>
        <w:t>- Se construye la estructura Party/Person/Document.</w:t>
      </w:r>
    </w:p>
    <w:p>
      <w:r>
        <w:t>- Se mapean las respuestas del formulario a KnowYourCustomerQuestionnaires.</w:t>
      </w:r>
    </w:p>
    <w:p>
      <w:r>
        <w:t>- Se determina el indicador de tributación extranjera (foreignTaxIndicator).</w:t>
      </w:r>
    </w:p>
    <w:p>
      <w:pPr>
        <w:pStyle w:val="Heading2"/>
      </w:pPr>
      <w:r>
        <w:t>7. Consumo del Servicio KYC</w:t>
      </w:r>
    </w:p>
    <w:p>
      <w:r>
        <w:t>Una vez construido el objeto KycProcessCdo, se realiza el consumo del servicio externo mediante el cliente Feign KnowYourCustomerClient:</w:t>
      </w:r>
    </w:p>
    <w:p>
      <w:pPr>
        <w:pStyle w:val="IntenseQuote"/>
      </w:pPr>
      <w:r>
        <w:t>POST /v2/know_your_customer/</w:t>
      </w:r>
    </w:p>
    <w:p>
      <w:r>
        <w:t>El servicio retorna un objeto KycResolutionCdo que contiene:</w:t>
      </w:r>
    </w:p>
    <w:p>
      <w:r>
        <w:t>- kycResolutionId</w:t>
      </w:r>
    </w:p>
    <w:p>
      <w:r>
        <w:t>- risk.score.code</w:t>
      </w:r>
    </w:p>
    <w:p>
      <w:r>
        <w:t>- risk.score.value</w:t>
      </w:r>
    </w:p>
    <w:p>
      <w:r>
        <w:t>- validityPeriod</w:t>
      </w:r>
    </w:p>
    <w:p>
      <w:pPr>
        <w:pStyle w:val="Heading2"/>
      </w:pPr>
      <w:r>
        <w:t>8. Escenario Simulado - Riesgo Alto</w:t>
      </w:r>
    </w:p>
    <w:p>
      <w:r>
        <w:t>Para efectos de este documento se simula que el servicio KYC retorna un resultado con risk.score.code = 'Alto'.</w:t>
      </w:r>
    </w:p>
    <w:p>
      <w:r>
        <w:t>Ejemplo conceptual de respuesta interna recibida:</w:t>
      </w:r>
    </w:p>
    <w:p>
      <w:pPr>
        <w:pStyle w:val="IntenseQuote"/>
      </w:pPr>
      <w:r>
        <w:t>{ 'kycResolutionId': 'UUID', 'risk': { 'score': { 'code': 'Alto', 'value': null } } }</w:t>
      </w:r>
    </w:p>
    <w:p>
      <w:pPr>
        <w:pStyle w:val="Heading2"/>
      </w:pPr>
      <w:r>
        <w:t>9. Construcción del ResponseEntity</w:t>
      </w:r>
    </w:p>
    <w:p>
      <w:r>
        <w:t>Con base en la resolución recibida, el sistema construye un Map con los siguientes campos:</w:t>
      </w:r>
    </w:p>
    <w:p>
      <w:r>
        <w:t>- FORM_SUBMISSION_ID = kycResolutionId</w:t>
      </w:r>
    </w:p>
    <w:p>
      <w:r>
        <w:t>- RISK_STATUS = risk.score.code (Alto)</w:t>
      </w:r>
    </w:p>
    <w:p>
      <w:r>
        <w:t>- RISK_DECISION = risk.score.value o cadena vacía si es null</w:t>
      </w:r>
    </w:p>
    <w:p>
      <w:r>
        <w:t>Este Map es encapsulado dentro de un ResponseEntity con estado HTTP 200 OK.</w:t>
      </w:r>
    </w:p>
    <w:p>
      <w:pPr>
        <w:pStyle w:val="Heading2"/>
      </w:pPr>
      <w:r>
        <w:t>10. Mapeo a formInformation</w:t>
      </w:r>
    </w:p>
    <w:p>
      <w:r>
        <w:t>Posteriormente, la capa superior extrae los valores del Map y construye el objeto formInformation, asignando:</w:t>
      </w:r>
    </w:p>
    <w:p>
      <w:r>
        <w:t>- formSubmissionId</w:t>
      </w:r>
    </w:p>
    <w:p>
      <w:r>
        <w:t>- riskStatus = 'Alto'</w:t>
      </w:r>
    </w:p>
    <w:p>
      <w:r>
        <w:t>- riskDecision = ''</w:t>
      </w:r>
    </w:p>
    <w:p>
      <w:r>
        <w:t>- checksum generado internamente</w:t>
      </w:r>
    </w:p>
    <w:p>
      <w:r>
        <w:t>- formCompleted = true</w:t>
      </w:r>
    </w:p>
    <w:p>
      <w:pPr>
        <w:pStyle w:val="Heading2"/>
      </w:pPr>
      <w:r>
        <w:t>11. Respuesta Final al Frontend</w:t>
      </w:r>
    </w:p>
    <w:p>
      <w:r>
        <w:t>Finalmente, el sistema retorna una respuesta HTTP 201 Created que contiene el objeto formInformation con el riesgo alto.</w:t>
      </w:r>
    </w:p>
    <w:p>
      <w:r>
        <w:t>Ejemplo simplificado de respuesta enviada al frontend:</w:t>
      </w:r>
    </w:p>
    <w:p>
      <w:pPr>
        <w:pStyle w:val="IntenseQuote"/>
      </w:pPr>
      <w:r>
        <w:t>{ 'formInformation': { 'formCompleted': true, 'riskStatus': 'Alto', 'riskDecision': '', 'formSubmissionId': 'UUID' } }</w:t>
      </w:r>
    </w:p>
    <w:p>
      <w:pPr>
        <w:pStyle w:val="Heading2"/>
      </w:pPr>
      <w:r>
        <w:t>12. Conclusión</w:t>
      </w:r>
    </w:p>
    <w:p>
      <w:r>
        <w:t>El flujo completo demuestra que el nivel de riesgo retornado al frontend proviene directamente del servicio KYC consumido a través del cliente Feign. En el escenario documentado, el servicio respondió con riesgo alto, el cual es propagado sin modificación hasta la respuesta final del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