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0"/>
        <w:jc w:val="center"/>
      </w:pPr>
      <w:r>
        <w:rPr>
          <w:rFonts w:ascii="Arial" w:cs="Arial" w:eastAsia="Arial" w:hAnsi="Arial"/>
          <w:b/>
          <w:bCs/>
          <w:color w:val="1F3864"/>
          <w:sz w:val="52"/>
          <w:szCs w:val="52"/>
        </w:rPr>
        <w:t xml:space="preserve">FOODLAND WUDINNA</w:t>
      </w:r>
    </w:p>
    <w:p>
      <w:pPr>
        <w:spacing w:before="80" w:after="0"/>
        <w:jc w:val="center"/>
      </w:pPr>
      <w:r>
        <w:rPr>
          <w:rFonts w:ascii="Arial" w:cs="Arial" w:eastAsia="Arial" w:hAnsi="Arial"/>
          <w:color w:val="2E5F99"/>
          <w:sz w:val="28"/>
          <w:szCs w:val="28"/>
        </w:rPr>
        <w:t xml:space="preserve">Fruit &amp; Vegetable Department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F3864" w:val="clear"/>
            <w:tcMar>
              <w:top w:type="dxa" w:w="300"/>
              <w:left w:type="dxa" w:w="400"/>
              <w:bottom w:type="dxa" w:w="300"/>
              <w:right w:type="dxa" w:w="400"/>
            </w:tcMar>
          </w:tcPr>
          <w:p>
            <w:pPr>
              <w:spacing w:before="0" w:after="80"/>
              <w:jc w:val="center"/>
            </w:pPr>
            <w:r>
              <w:rPr>
                <w:rFonts w:ascii="Arial" w:cs="Arial" w:eastAsia="Arial" w:hAnsi="Arial"/>
                <w:b/>
                <w:bCs/>
                <w:color w:val="FFFFFF"/>
                <w:sz w:val="40"/>
                <w:szCs w:val="40"/>
              </w:rPr>
              <w:t xml:space="preserve">Demand Forecasting Project</w:t>
            </w:r>
          </w:p>
          <w:p>
            <w:pPr>
              <w:spacing w:before="0" w:after="0"/>
              <w:jc w:val="center"/>
            </w:pPr>
            <w:r>
              <w:rPr>
                <w:rFonts w:ascii="Arial" w:cs="Arial" w:eastAsia="Arial" w:hAnsi="Arial"/>
                <w:color w:val="A8C8E8"/>
                <w:sz w:val="28"/>
                <w:szCs w:val="28"/>
              </w:rPr>
              <w:t xml:space="preserve">KPI Framework &amp; Success Criteria</w:t>
            </w:r>
          </w:p>
        </w:tc>
      </w:tr>
    </w:tbl>
    <w:p>
      <w:pPr>
        <w:spacing w:before="120" w:after="0"/>
      </w:pPr>
      <w:r>
        <w:t xml:space="preserve"/>
      </w:r>
    </w:p>
    <w:p>
      <w:pPr>
        <w:spacing w:before="0" w:after="60"/>
        <w:jc w:val="center"/>
      </w:pPr>
      <w:r>
        <w:rPr>
          <w:rFonts w:ascii="Arial" w:cs="Arial" w:eastAsia="Arial" w:hAnsi="Arial"/>
          <w:color w:val="666666"/>
          <w:sz w:val="18"/>
          <w:szCs w:val="18"/>
        </w:rPr>
        <w:t xml:space="preserve">Version 1.0  |  March 2026</w:t>
      </w:r>
    </w:p>
    <w:p>
      <w:pPr>
        <w:spacing w:before="0" w:after="0"/>
        <w:jc w:val="center"/>
      </w:pPr>
      <w:r>
        <w:rPr>
          <w:rFonts w:ascii="Arial" w:cs="Arial" w:eastAsia="Arial" w:hAnsi="Arial"/>
          <w:i/>
          <w:iCs/>
          <w:color w:val="888888"/>
          <w:sz w:val="18"/>
          <w:szCs w:val="18"/>
        </w:rPr>
        <w:t xml:space="preserve">Prepared in conjunction with EDA Report</w:t>
      </w:r>
    </w:p>
    <w:p>
      <w:pPr>
        <w:spacing w:before="400" w:after="0"/>
      </w:pPr>
      <w:r>
        <w:t xml:space="preserve"/>
      </w:r>
    </w:p>
    <w:p>
      <w:r>
        <w:br w:type="page"/>
      </w:r>
    </w:p>
    <w:p>
      <w:pPr>
        <w:pStyle w:val="Heading1"/>
        <w:pBdr>
          <w:bottom w:val="single" w:color="2E5F99" w:sz="8" w:space="4"/>
        </w:pBdr>
        <w:spacing w:before="320" w:after="160"/>
      </w:pPr>
      <w:r>
        <w:rPr>
          <w:rFonts w:ascii="Arial" w:cs="Arial" w:eastAsia="Arial" w:hAnsi="Arial"/>
          <w:b/>
          <w:bCs/>
          <w:color w:val="1F3864"/>
          <w:sz w:val="28"/>
          <w:szCs w:val="28"/>
        </w:rPr>
        <w:t xml:space="preserve">Executive Summary</w:t>
      </w:r>
    </w:p>
    <w:p>
      <w:pPr>
        <w:spacing w:before="60" w:after="60"/>
      </w:pPr>
      <w:r>
        <w:rPr>
          <w:rFonts w:ascii="Arial" w:cs="Arial" w:eastAsia="Arial" w:hAnsi="Arial"/>
          <w:sz w:val="18"/>
          <w:szCs w:val="18"/>
        </w:rPr>
        <w:t xml:space="preserve">This document defines the Key Performance Indicators (KPIs), success criteria, and measurement methodology for the Foodland Wudinna Fruit &amp; Vegetable Demand Forecasting Project. The project aims to replace the current manual ordering process with a machine-learning-assisted system that forecasts consumption for each product and recommends order quantities automatically.</w:t>
      </w:r>
    </w:p>
    <w:p>
      <w:pPr>
        <w:spacing w:before="80" w:after="0"/>
      </w:pPr>
      <w:r>
        <w:t xml:space="preserve"/>
      </w:r>
    </w:p>
    <w:p>
      <w:pPr>
        <w:spacing w:before="60" w:after="60"/>
      </w:pPr>
      <w:r>
        <w:rPr>
          <w:rFonts w:ascii="Arial" w:cs="Arial" w:eastAsia="Arial" w:hAnsi="Arial"/>
          <w:sz w:val="18"/>
          <w:szCs w:val="18"/>
        </w:rPr>
        <w:t xml:space="preserve">The KPI framework is structured in two layers:</w:t>
      </w:r>
    </w:p>
    <w:p>
      <w:pPr>
        <w:pStyle w:val="ListParagraph"/>
        <w:numPr>
          <w:ilvl w:val="0"/>
          <w:numId w:val="2"/>
        </w:numPr>
        <w:spacing w:before="40" w:after="40"/>
      </w:pPr>
      <w:r>
        <w:rPr>
          <w:rFonts w:ascii="Arial" w:cs="Arial" w:eastAsia="Arial" w:hAnsi="Arial"/>
          <w:b/>
          <w:bCs/>
          <w:sz w:val="18"/>
          <w:szCs w:val="18"/>
        </w:rPr>
        <w:t xml:space="preserve">Layer 1: </w:t>
      </w:r>
      <w:r>
        <w:rPr>
          <w:rFonts w:ascii="Arial" w:cs="Arial" w:eastAsia="Arial" w:hAnsi="Arial"/>
          <w:sz w:val="18"/>
          <w:szCs w:val="18"/>
        </w:rPr>
        <w:t xml:space="preserve"> Forecasting Accuracy KPIs — measure how well the model predicts demand, independently of business outcomes.</w:t>
      </w:r>
    </w:p>
    <w:p>
      <w:pPr>
        <w:pStyle w:val="ListParagraph"/>
        <w:numPr>
          <w:ilvl w:val="0"/>
          <w:numId w:val="2"/>
        </w:numPr>
        <w:spacing w:before="40" w:after="40"/>
      </w:pPr>
      <w:r>
        <w:rPr>
          <w:rFonts w:ascii="Arial" w:cs="Arial" w:eastAsia="Arial" w:hAnsi="Arial"/>
          <w:b/>
          <w:bCs/>
          <w:sz w:val="18"/>
          <w:szCs w:val="18"/>
        </w:rPr>
        <w:t xml:space="preserve">Layer 2: </w:t>
      </w:r>
      <w:r>
        <w:rPr>
          <w:rFonts w:ascii="Arial" w:cs="Arial" w:eastAsia="Arial" w:hAnsi="Arial"/>
          <w:sz w:val="18"/>
          <w:szCs w:val="18"/>
        </w:rPr>
        <w:t xml:space="preserve"> Business Impact KPIs — measure whether improved forecast accuracy translates into tangible operational and financial improvements.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99" w:sz="8"/>
              <w:left w:val="thick" w:color="2E5F99" w:sz="16"/>
              <w:bottom w:val="single" w:color="2E5F99" w:sz="8"/>
              <w:right w:val="none" w:color="2E5F99" w:sz="0"/>
            </w:tcBorders>
            <w:shd w:fill="D5E8F0" w:val="clear"/>
            <w:tcMar>
              <w:top w:type="dxa" w:w="120"/>
              <w:left w:type="dxa" w:w="200"/>
              <w:bottom w:type="dxa" w:w="120"/>
              <w:right w:type="dxa" w:w="120"/>
            </w:tcMar>
          </w:tcPr>
          <w:p>
            <w:pPr>
              <w:spacing w:before="0" w:after="0"/>
            </w:pPr>
            <w:r>
              <w:rPr>
                <w:rFonts w:ascii="Arial" w:cs="Arial" w:eastAsia="Arial" w:hAnsi="Arial"/>
                <w:i/>
                <w:iCs/>
                <w:sz w:val="17"/>
                <w:szCs w:val="17"/>
              </w:rPr>
              <w:t xml:space="preserve">Key principle: A model with good accuracy KPIs must also demonstrate business impact to justify ongoing investment. Equally, if business impact is positive, a modestly accurate model may still be worth running if it outperforms the manual baseline (Forecast Value Added &gt; 0%).</w:t>
            </w:r>
          </w:p>
        </w:tc>
      </w:tr>
    </w:tbl>
    <w:p>
      <w:pPr>
        <w:spacing w:before="120" w:after="0"/>
      </w:pPr>
      <w:r>
        <w:t xml:space="preserve"/>
      </w:r>
    </w:p>
    <w:p>
      <w:pPr>
        <w:spacing w:before="60" w:after="60"/>
      </w:pPr>
      <w:r>
        <w:rPr>
          <w:rFonts w:ascii="Arial" w:cs="Arial" w:eastAsia="Arial" w:hAnsi="Arial"/>
          <w:sz w:val="18"/>
          <w:szCs w:val="18"/>
        </w:rPr>
        <w:t xml:space="preserve">Benchmarks used in this document are drawn from the following sources:</w:t>
      </w:r>
    </w:p>
    <w:p>
      <w:pPr>
        <w:pStyle w:val="ListParagraph"/>
        <w:numPr>
          <w:ilvl w:val="0"/>
          <w:numId w:val="2"/>
        </w:numPr>
        <w:spacing w:before="40" w:after="40"/>
      </w:pPr>
      <w:r>
        <w:rPr>
          <w:rFonts w:ascii="Arial" w:cs="Arial" w:eastAsia="Arial" w:hAnsi="Arial"/>
          <w:sz w:val="18"/>
          <w:szCs w:val="18"/>
        </w:rPr>
        <w:t xml:space="preserve">ECR Europe (2003, 2008, 2016): Demand Driven Supply Chain &amp; Forecasting Accuracy studies for FMCG/fresh retail</w:t>
      </w:r>
    </w:p>
    <w:p>
      <w:pPr>
        <w:pStyle w:val="ListParagraph"/>
        <w:numPr>
          <w:ilvl w:val="0"/>
          <w:numId w:val="2"/>
        </w:numPr>
        <w:spacing w:before="40" w:after="40"/>
      </w:pPr>
      <w:r>
        <w:rPr>
          <w:rFonts w:ascii="Arial" w:cs="Arial" w:eastAsia="Arial" w:hAnsi="Arial"/>
          <w:sz w:val="18"/>
          <w:szCs w:val="18"/>
        </w:rPr>
        <w:t xml:space="preserve">Fildes et al. (2008): 'Forecasting and Operational Research', Journal of the Operational Research Society — retail forecasting benchmarks</w:t>
      </w:r>
    </w:p>
    <w:p>
      <w:pPr>
        <w:pStyle w:val="ListParagraph"/>
        <w:numPr>
          <w:ilvl w:val="0"/>
          <w:numId w:val="2"/>
        </w:numPr>
        <w:spacing w:before="40" w:after="40"/>
      </w:pPr>
      <w:r>
        <w:rPr>
          <w:rFonts w:ascii="Arial" w:cs="Arial" w:eastAsia="Arial" w:hAnsi="Arial"/>
          <w:sz w:val="18"/>
          <w:szCs w:val="18"/>
        </w:rPr>
        <w:t xml:space="preserve">Food Marketing Institute (FMI, 2022): Supermarket Facts — US benchmarks used as reference only</w:t>
      </w:r>
    </w:p>
    <w:p>
      <w:pPr>
        <w:pStyle w:val="ListParagraph"/>
        <w:numPr>
          <w:ilvl w:val="0"/>
          <w:numId w:val="2"/>
        </w:numPr>
        <w:spacing w:before="40" w:after="40"/>
      </w:pPr>
      <w:r>
        <w:rPr>
          <w:rFonts w:ascii="Arial" w:cs="Arial" w:eastAsia="Arial" w:hAnsi="Arial"/>
          <w:sz w:val="18"/>
          <w:szCs w:val="18"/>
        </w:rPr>
        <w:t xml:space="preserve">FIAL (Food Innovation Australia Ltd, 2023): Fresh Produce Supply Chain &amp; Waste Reports</w:t>
      </w:r>
    </w:p>
    <w:p>
      <w:pPr>
        <w:pStyle w:val="ListParagraph"/>
        <w:numPr>
          <w:ilvl w:val="0"/>
          <w:numId w:val="2"/>
        </w:numPr>
        <w:spacing w:before="40" w:after="40"/>
      </w:pPr>
      <w:r>
        <w:rPr>
          <w:rFonts w:ascii="Arial" w:cs="Arial" w:eastAsia="Arial" w:hAnsi="Arial"/>
          <w:sz w:val="18"/>
          <w:szCs w:val="18"/>
        </w:rPr>
        <w:t xml:space="preserve">GS1 Australia (2019): Fresh Produce Traceability &amp; Availability Report</w:t>
      </w:r>
    </w:p>
    <w:p>
      <w:pPr>
        <w:pStyle w:val="ListParagraph"/>
        <w:numPr>
          <w:ilvl w:val="0"/>
          <w:numId w:val="2"/>
        </w:numPr>
        <w:spacing w:before="40" w:after="40"/>
      </w:pPr>
      <w:r>
        <w:rPr>
          <w:rFonts w:ascii="Arial" w:cs="Arial" w:eastAsia="Arial" w:hAnsi="Arial"/>
          <w:sz w:val="18"/>
          <w:szCs w:val="18"/>
        </w:rPr>
        <w:t xml:space="preserve">FAO (2019): 'The State of Food and Agriculture — Moving Forward on Food Loss and Waste Reduction'</w:t>
      </w:r>
    </w:p>
    <w:p>
      <w:r>
        <w:br w:type="page"/>
      </w:r>
    </w:p>
    <w:p>
      <w:pPr>
        <w:pStyle w:val="Heading1"/>
        <w:pBdr>
          <w:bottom w:val="single" w:color="2E5F99" w:sz="8" w:space="4"/>
        </w:pBdr>
        <w:spacing w:before="320" w:after="160"/>
      </w:pPr>
      <w:r>
        <w:rPr>
          <w:rFonts w:ascii="Arial" w:cs="Arial" w:eastAsia="Arial" w:hAnsi="Arial"/>
          <w:b/>
          <w:bCs/>
          <w:color w:val="1F3864"/>
          <w:sz w:val="28"/>
          <w:szCs w:val="28"/>
        </w:rPr>
        <w:t xml:space="preserve">Data Coverage &amp; Known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8"/>
              <w:left w:val="thick" w:color="8B0000" w:sz="16"/>
              <w:bottom w:val="single" w:color="8B0000" w:sz="8"/>
              <w:right w:val="none" w:color="8B0000" w:sz="0"/>
            </w:tcBorders>
            <w:shd w:fill="FDECEA" w:val="clear"/>
            <w:tcMar>
              <w:top w:type="dxa" w:w="120"/>
              <w:left w:type="dxa" w:w="200"/>
              <w:bottom w:type="dxa" w:w="120"/>
              <w:right w:type="dxa" w:w="120"/>
            </w:tcMar>
          </w:tcPr>
          <w:p>
            <w:pPr>
              <w:spacing w:before="0" w:after="0"/>
            </w:pPr>
            <w:r>
              <w:rPr>
                <w:rFonts w:ascii="Arial" w:cs="Arial" w:eastAsia="Arial" w:hAnsi="Arial"/>
                <w:i/>
                <w:iCs/>
                <w:sz w:val="17"/>
                <w:szCs w:val="17"/>
              </w:rPr>
              <w:t xml:space="preserve">This section must be read before interpreting any KPI targets or financial estimates in this document.</w:t>
            </w:r>
          </w:p>
        </w:tc>
      </w:tr>
    </w:tbl>
    <w:p>
      <w:pPr>
        <w:spacing w:before="80" w:after="0"/>
      </w:pPr>
      <w:r>
        <w:t xml:space="preserve"/>
      </w:r>
    </w:p>
    <w:p>
      <w:pPr>
        <w:pStyle w:val="Heading2"/>
        <w:spacing w:before="240" w:after="100"/>
      </w:pPr>
      <w:r>
        <w:rPr>
          <w:rFonts w:ascii="Arial" w:cs="Arial" w:eastAsia="Arial" w:hAnsi="Arial"/>
          <w:b/>
          <w:bCs/>
          <w:color w:val="2E5F99"/>
          <w:sz w:val="22"/>
          <w:szCs w:val="22"/>
        </w:rPr>
        <w:t xml:space="preserve">Current Dataset</w:t>
      </w:r>
    </w:p>
    <w:p>
      <w:pPr>
        <w:spacing w:before="60" w:after="60"/>
      </w:pPr>
      <w:r>
        <w:rPr>
          <w:rFonts w:ascii="Arial" w:cs="Arial" w:eastAsia="Arial" w:hAnsi="Arial"/>
          <w:sz w:val="18"/>
          <w:szCs w:val="18"/>
        </w:rPr>
        <w:t xml:space="preserve">The sales data used to produce this framework covers January 1 to March 19 for both 2025 and 2026 — approximately 78 operating days per year, or 21% of the calendar year. This corresponds to the Australian summer and early autumn period in Wudinna, SA.</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rPr>
          <w:tblHeader/>
        </w:trPr>
        <w:tc>
          <w:tcPr>
            <w:tcW w:type="dxa" w:w="2500"/>
            <w:gridSpan w:val="1"/>
            <w:tcBorders>
              <w:top w:val="single" w:color="999999" w:sz="4"/>
              <w:left w:val="single" w:color="999999" w:sz="4"/>
              <w:bottom w:val="single" w:color="999999" w:sz="4"/>
              <w:right w:val="single" w:color="999999" w:sz="4"/>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We Have</w:t>
            </w:r>
          </w:p>
        </w:tc>
        <w:tc>
          <w:tcPr>
            <w:tcW w:type="dxa" w:w="2263"/>
            <w:gridSpan w:val="1"/>
            <w:tcBorders>
              <w:top w:val="single" w:color="999999" w:sz="4"/>
              <w:left w:val="single" w:color="999999" w:sz="4"/>
              <w:bottom w:val="single" w:color="999999" w:sz="4"/>
              <w:right w:val="single" w:color="999999" w:sz="4"/>
            </w:tcBorders>
            <w:shd w:fill="8B000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Is Missing</w:t>
            </w:r>
          </w:p>
        </w:tc>
        <w:tc>
          <w:tcPr>
            <w:tcW w:type="dxa" w:w="4263"/>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 on This Document</w:t>
            </w:r>
          </w:p>
        </w:tc>
      </w:tr>
      <w:tr>
        <w:tc>
          <w:tcPr>
            <w:tcW w:type="dxa" w:w="2500"/>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Jan–Mar 2025 (78 op. days)</w:t>
            </w:r>
          </w:p>
        </w:tc>
        <w:tc>
          <w:tcPr>
            <w:tcW w:type="dxa" w:w="226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center"/>
            </w:pPr>
            <w:r>
              <w:rPr>
                <w:rFonts w:ascii="Arial" w:cs="Arial" w:eastAsia="Arial" w:hAnsi="Arial"/>
                <w:b w:val="false"/>
                <w:bCs w:val="false"/>
                <w:color w:val="8B0000"/>
                <w:sz w:val="17"/>
                <w:szCs w:val="17"/>
              </w:rPr>
              <w:t xml:space="preserve">Apr–Dec 2025
(~235 op. days)</w:t>
            </w:r>
          </w:p>
        </w:tc>
        <w:tc>
          <w:tcPr>
            <w:tcW w:type="dxa" w:w="42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Financial estimates are for the observed period only. Annual projections use multipliers with stated assumptions.</w:t>
            </w:r>
          </w:p>
        </w:tc>
      </w:tr>
      <w:tr>
        <w:tc>
          <w:tcPr>
            <w:tcW w:type="dxa" w:w="2500"/>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Jan–Mar 2026 (78 op. days)</w:t>
            </w:r>
          </w:p>
        </w:tc>
        <w:tc>
          <w:tcPr>
            <w:tcW w:type="dxa" w:w="226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center"/>
            </w:pPr>
            <w:r>
              <w:rPr>
                <w:rFonts w:ascii="Arial" w:cs="Arial" w:eastAsia="Arial" w:hAnsi="Arial"/>
                <w:b w:val="false"/>
                <w:bCs w:val="false"/>
                <w:color w:val="8B0000"/>
                <w:sz w:val="17"/>
                <w:szCs w:val="17"/>
              </w:rPr>
              <w:t xml:space="preserve">Apr–Dec 2026
(~235 op. days)</w:t>
            </w:r>
          </w:p>
        </w:tc>
        <w:tc>
          <w:tcPr>
            <w:tcW w:type="dxa" w:w="42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Seasonal decomposition captures weekly patterns within summer only. Annual seasonality is unknown.</w:t>
            </w:r>
          </w:p>
        </w:tc>
      </w:tr>
      <w:tr>
        <w:tc>
          <w:tcPr>
            <w:tcW w:type="dxa" w:w="2500"/>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156 comparable operating days total across both years</w:t>
            </w:r>
          </w:p>
        </w:tc>
        <w:tc>
          <w:tcPr>
            <w:tcW w:type="dxa" w:w="226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center"/>
            </w:pPr>
            <w:r>
              <w:rPr>
                <w:rFonts w:ascii="Arial" w:cs="Arial" w:eastAsia="Arial" w:hAnsi="Arial"/>
                <w:b w:val="false"/>
                <w:bCs w:val="false"/>
                <w:color w:val="8B0000"/>
                <w:sz w:val="17"/>
                <w:szCs w:val="17"/>
              </w:rPr>
              <w:t xml:space="preserve">~470 operating days missing across both years</w:t>
            </w:r>
          </w:p>
        </w:tc>
        <w:tc>
          <w:tcPr>
            <w:tcW w:type="dxa" w:w="42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Walk-forward CV tests summer→summer only. Model may not generalise to other seasons without retraining.</w:t>
            </w:r>
          </w:p>
        </w:tc>
      </w:tr>
    </w:tbl>
    <w:p>
      <w:pPr>
        <w:spacing w:before="120" w:after="0"/>
      </w:pPr>
      <w:r>
        <w:t xml:space="preserve"/>
      </w:r>
    </w:p>
    <w:p>
      <w:pPr>
        <w:pStyle w:val="Heading2"/>
        <w:spacing w:before="240" w:after="100"/>
      </w:pPr>
      <w:r>
        <w:rPr>
          <w:rFonts w:ascii="Arial" w:cs="Arial" w:eastAsia="Arial" w:hAnsi="Arial"/>
          <w:b/>
          <w:bCs/>
          <w:color w:val="2E5F99"/>
          <w:sz w:val="22"/>
          <w:szCs w:val="22"/>
        </w:rPr>
        <w:t xml:space="preserve">What This Means for the KPI Targets</w:t>
      </w:r>
    </w:p>
    <w:p>
      <w:pPr>
        <w:pStyle w:val="ListParagraph"/>
        <w:numPr>
          <w:ilvl w:val="0"/>
          <w:numId w:val="2"/>
        </w:numPr>
        <w:spacing w:before="40" w:after="40"/>
      </w:pPr>
      <w:r>
        <w:rPr>
          <w:rFonts w:ascii="Arial" w:cs="Arial" w:eastAsia="Arial" w:hAnsi="Arial"/>
          <w:sz w:val="18"/>
          <w:szCs w:val="18"/>
        </w:rPr>
        <w:t xml:space="preserve">Forecasting accuracy targets (MAPE, MAE, Bias) are achievable with current data and remain valid for the Jan–Mar window.</w:t>
      </w:r>
    </w:p>
    <w:p>
      <w:pPr>
        <w:pStyle w:val="ListParagraph"/>
        <w:numPr>
          <w:ilvl w:val="0"/>
          <w:numId w:val="2"/>
        </w:numPr>
        <w:spacing w:before="40" w:after="40"/>
      </w:pPr>
      <w:r>
        <w:rPr>
          <w:rFonts w:ascii="Arial" w:cs="Arial" w:eastAsia="Arial" w:hAnsi="Arial"/>
          <w:sz w:val="18"/>
          <w:szCs w:val="18"/>
        </w:rPr>
        <w:t xml:space="preserve">Financial impact estimates (waste, stockout, time savings) are stated per observable period first, then scaled. Full-year projections are directional — treat them as a minimum floor, not a ceiling.</w:t>
      </w:r>
    </w:p>
    <w:p>
      <w:pPr>
        <w:pStyle w:val="ListParagraph"/>
        <w:numPr>
          <w:ilvl w:val="0"/>
          <w:numId w:val="2"/>
        </w:numPr>
        <w:spacing w:before="40" w:after="40"/>
      </w:pPr>
      <w:r>
        <w:rPr>
          <w:rFonts w:ascii="Arial" w:cs="Arial" w:eastAsia="Arial" w:hAnsi="Arial"/>
          <w:sz w:val="18"/>
          <w:szCs w:val="18"/>
        </w:rPr>
        <w:t xml:space="preserve">Seasonal items (watermelon, stone fruit, mangoes, melons) may not be ordered at all during winter months. The model will naturally exclude these items when they are not in season.</w:t>
      </w:r>
    </w:p>
    <w:p>
      <w:pPr>
        <w:pStyle w:val="ListParagraph"/>
        <w:numPr>
          <w:ilvl w:val="0"/>
          <w:numId w:val="2"/>
        </w:numPr>
        <w:spacing w:before="40" w:after="40"/>
      </w:pPr>
      <w:r>
        <w:rPr>
          <w:rFonts w:ascii="Arial" w:cs="Arial" w:eastAsia="Arial" w:hAnsi="Arial"/>
          <w:sz w:val="18"/>
          <w:szCs w:val="18"/>
        </w:rPr>
        <w:t xml:space="preserve">Winter produce items (root vegetables, brassicas, citrus) may show materially different demand patterns to their summer behaviour. These will require additional training data before reliable forecasts can be made for those categories.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99" w:sz="8"/>
              <w:left w:val="thick" w:color="2E5F99" w:sz="16"/>
              <w:bottom w:val="single" w:color="2E5F99" w:sz="8"/>
              <w:right w:val="none" w:color="2E5F99" w:sz="0"/>
            </w:tcBorders>
            <w:shd w:fill="D5E8F0" w:val="clear"/>
            <w:tcMar>
              <w:top w:type="dxa" w:w="120"/>
              <w:left w:type="dxa" w:w="200"/>
              <w:bottom w:type="dxa" w:w="120"/>
              <w:right w:type="dxa" w:w="120"/>
            </w:tcMar>
          </w:tcPr>
          <w:p>
            <w:pPr>
              <w:spacing w:before="0" w:after="0"/>
            </w:pPr>
            <w:r>
              <w:rPr>
                <w:rFonts w:ascii="Arial" w:cs="Arial" w:eastAsia="Arial" w:hAnsi="Arial"/>
                <w:i/>
                <w:iCs/>
                <w:sz w:val="17"/>
                <w:szCs w:val="17"/>
              </w:rPr>
              <w:t xml:space="preserve">Phase 1 prerequisite: Collect and integrate April–December POS data for both 2025 and 2026 before training the production model. The existing 78 operating days are sufficient for a pilot (Phase 2), but not for a robust year-round system (Phase 3).</w:t>
            </w:r>
          </w:p>
        </w:tc>
      </w:tr>
    </w:tbl>
    <w:p>
      <w:r>
        <w:br w:type="page"/>
      </w:r>
    </w:p>
    <w:p>
      <w:pPr>
        <w:pStyle w:val="Heading1"/>
        <w:pBdr>
          <w:bottom w:val="single" w:color="2E5F99" w:sz="8" w:space="4"/>
        </w:pBdr>
        <w:spacing w:before="320" w:after="160"/>
      </w:pPr>
      <w:r>
        <w:rPr>
          <w:rFonts w:ascii="Arial" w:cs="Arial" w:eastAsia="Arial" w:hAnsi="Arial"/>
          <w:b/>
          <w:bCs/>
          <w:color w:val="1F3864"/>
          <w:sz w:val="28"/>
          <w:szCs w:val="28"/>
        </w:rPr>
        <w:t xml:space="preserve">1. Forecasting Accuracy KPIs</w:t>
      </w:r>
    </w:p>
    <w:p>
      <w:pPr>
        <w:spacing w:before="60" w:after="60"/>
      </w:pPr>
      <w:r>
        <w:rPr>
          <w:rFonts w:ascii="Arial" w:cs="Arial" w:eastAsia="Arial" w:hAnsi="Arial"/>
          <w:sz w:val="18"/>
          <w:szCs w:val="18"/>
        </w:rPr>
        <w:t xml:space="preserve">These metrics measure the model's predictive performance in isolation — how close the forecast is to actual consumption. They should be calculated per item and then averaged across the catalogue. All metrics apply to the 2-to-4-day forecast horizon corresponding to the order schedule.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99" w:sz="8"/>
              <w:left w:val="thick" w:color="2E5F99" w:sz="16"/>
              <w:bottom w:val="single" w:color="2E5F99" w:sz="8"/>
              <w:right w:val="none" w:color="2E5F99" w:sz="0"/>
            </w:tcBorders>
            <w:shd w:fill="D5E8F0" w:val="clear"/>
            <w:tcMar>
              <w:top w:type="dxa" w:w="120"/>
              <w:left w:type="dxa" w:w="200"/>
              <w:bottom w:type="dxa" w:w="120"/>
              <w:right w:type="dxa" w:w="120"/>
            </w:tcMar>
          </w:tcPr>
          <w:p>
            <w:pPr>
              <w:spacing w:before="0" w:after="0"/>
            </w:pPr>
            <w:r>
              <w:rPr>
                <w:rFonts w:ascii="Arial" w:cs="Arial" w:eastAsia="Arial" w:hAnsi="Arial"/>
                <w:i/>
                <w:iCs/>
                <w:sz w:val="17"/>
                <w:szCs w:val="17"/>
              </w:rPr>
              <w:t xml:space="preserve">Important: MAPE is undefined when actual demand is zero. All MAPE calculations must exclude zero-demand days. Use MAE as the primary metric for items with high intermittency (&gt; 50% zero days).</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60"/>
        <w:gridCol w:w="1260"/>
        <w:gridCol w:w="1266"/>
        <w:gridCol w:w="1040"/>
      </w:tblGrid>
      <w:tr>
        <w:trPr>
          <w:tblHeader/>
        </w:trPr>
        <w:tc>
          <w:tcPr>
            <w:tcW w:type="dxa" w:w="20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KPI</w:t>
            </w:r>
          </w:p>
        </w:tc>
        <w:tc>
          <w:tcPr>
            <w:tcW w:type="dxa" w:w="22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1260"/>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 1
Target</w:t>
            </w:r>
          </w:p>
        </w:tc>
        <w:tc>
          <w:tcPr>
            <w:tcW w:type="dxa" w:w="1260"/>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 2
Target</w:t>
            </w:r>
          </w:p>
        </w:tc>
        <w:tc>
          <w:tcPr>
            <w:tcW w:type="dxa" w:w="1266"/>
            <w:gridSpan w:val="1"/>
            <w:tcBorders>
              <w:top w:val="single" w:color="999999" w:sz="4"/>
              <w:left w:val="single" w:color="999999" w:sz="4"/>
              <w:bottom w:val="single" w:color="999999" w:sz="4"/>
              <w:right w:val="single" w:color="999999" w:sz="4"/>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Excellent</w:t>
            </w:r>
          </w:p>
        </w:tc>
        <w:tc>
          <w:tcPr>
            <w:tcW w:type="dxa" w:w="1040"/>
            <w:gridSpan w:val="1"/>
            <w:tcBorders>
              <w:top w:val="single" w:color="999999" w:sz="4"/>
              <w:left w:val="single" w:color="999999" w:sz="4"/>
              <w:bottom w:val="single" w:color="999999" w:sz="4"/>
              <w:right w:val="single" w:color="999999" w:sz="4"/>
            </w:tcBorders>
            <w:shd w:fill="55555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Industry
Benchmark</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MAPE
(Mean Abs % Error)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|Actual − Forecast| / Actual × 100
(on non-zero days only)</w:t>
            </w:r>
          </w:p>
        </w:tc>
        <w:tc>
          <w:tcPr>
            <w:tcW w:type="dxa" w:w="1260"/>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&lt; 30%</w:t>
            </w:r>
          </w:p>
        </w:tc>
        <w:tc>
          <w:tcPr>
            <w:tcW w:type="dxa" w:w="12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&lt; 22%</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&lt; 15%</w:t>
            </w:r>
          </w:p>
        </w:tc>
        <w:tc>
          <w:tcPr>
            <w:tcW w:type="dxa" w:w="10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15–25%
(ECR Europe, fresh produce)</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MAE
(Mean Abs Error)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|Actual − Forecast|
in native units (kg or units)</w:t>
            </w:r>
          </w:p>
        </w:tc>
        <w:tc>
          <w:tcPr>
            <w:tcW w:type="dxa" w:w="1260"/>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 1.5 × Hist. Std Dev</w:t>
            </w:r>
          </w:p>
        </w:tc>
        <w:tc>
          <w:tcPr>
            <w:tcW w:type="dxa" w:w="12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 1.0 × Hist. Std Dev</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 0.7 × Hist. Std Dev</w:t>
            </w:r>
          </w:p>
        </w:tc>
        <w:tc>
          <w:tcPr>
            <w:tcW w:type="dxa" w:w="10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Varies by category;
set per item</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Forecast Bias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(Forecast − Actual) / Actual × 100
(average across all periods)</w:t>
            </w:r>
          </w:p>
        </w:tc>
        <w:tc>
          <w:tcPr>
            <w:tcW w:type="dxa" w:w="1260"/>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Within ±10%</w:t>
            </w:r>
          </w:p>
        </w:tc>
        <w:tc>
          <w:tcPr>
            <w:tcW w:type="dxa" w:w="12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Within ±5%</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Within ±2%</w:t>
            </w:r>
          </w:p>
        </w:tc>
        <w:tc>
          <w:tcPr>
            <w:tcW w:type="dxa" w:w="10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±5% accepted in
mature retail systems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Forecast Value
Added (FVA)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(Naive MAPE − Model MAPE)
/ Naive MAPE × 100</w:t>
            </w:r>
          </w:p>
        </w:tc>
        <w:tc>
          <w:tcPr>
            <w:tcW w:type="dxa" w:w="1260"/>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&gt; 10%</w:t>
            </w:r>
          </w:p>
        </w:tc>
        <w:tc>
          <w:tcPr>
            <w:tcW w:type="dxa" w:w="12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&gt; 20%</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&gt; 35%</w:t>
            </w:r>
          </w:p>
        </w:tc>
        <w:tc>
          <w:tcPr>
            <w:tcW w:type="dxa" w:w="10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&gt; 20% = meaningful
improvement (Fildes et al.)</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Hit Rate
(±20% tolerance)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 of forecasts where
|error| / actual ≤ 20%</w:t>
            </w:r>
          </w:p>
        </w:tc>
        <w:tc>
          <w:tcPr>
            <w:tcW w:type="dxa" w:w="1260"/>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&gt; 55%</w:t>
            </w:r>
          </w:p>
        </w:tc>
        <w:tc>
          <w:tcPr>
            <w:tcW w:type="dxa" w:w="12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&gt; 65%</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&gt; 75%</w:t>
            </w:r>
          </w:p>
        </w:tc>
        <w:tc>
          <w:tcPr>
            <w:tcW w:type="dxa" w:w="10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65–75% target
(FMI Supermarket Study)</w:t>
            </w:r>
          </w:p>
        </w:tc>
      </w:tr>
    </w:tbl>
    <w:p>
      <w:pPr>
        <w:spacing w:before="160" w:after="0"/>
      </w:pPr>
      <w:r>
        <w:t xml:space="preserve"/>
      </w:r>
    </w:p>
    <w:p>
      <w:pPr>
        <w:pStyle w:val="Heading2"/>
        <w:spacing w:before="240" w:after="100"/>
      </w:pPr>
      <w:r>
        <w:rPr>
          <w:rFonts w:ascii="Arial" w:cs="Arial" w:eastAsia="Arial" w:hAnsi="Arial"/>
          <w:b/>
          <w:bCs/>
          <w:color w:val="2E5F99"/>
          <w:sz w:val="22"/>
          <w:szCs w:val="22"/>
        </w:rPr>
        <w:t xml:space="preserve">1.1 Forecast Value Added (FVA) — The Most Important Metric</w:t>
      </w:r>
    </w:p>
    <w:p>
      <w:pPr>
        <w:spacing w:before="60" w:after="60"/>
      </w:pPr>
      <w:r>
        <w:rPr>
          <w:rFonts w:ascii="Arial" w:cs="Arial" w:eastAsia="Arial" w:hAnsi="Arial"/>
          <w:sz w:val="18"/>
          <w:szCs w:val="18"/>
        </w:rPr>
        <w:t xml:space="preserve">FVA measures whether the model is worth using at all. It compares the model's MAPE against the Naive baseline (last week's same-weekday value). A negative FVA means the model is performing worse than simply repeating last week's sales — this is the primary failure signal.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FVA Range</w:t>
            </w:r>
          </w:p>
        </w:tc>
        <w:tc>
          <w:tcPr>
            <w:tcW w:type="dxa" w:w="3263"/>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Interpretation</w:t>
            </w:r>
          </w:p>
        </w:tc>
        <w:tc>
          <w:tcPr>
            <w:tcW w:type="dxa" w:w="3263"/>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r>
      <w:tr>
        <w:tc>
          <w:tcPr>
            <w:tcW w:type="dxa" w:w="250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center"/>
            </w:pPr>
            <w:r>
              <w:rPr>
                <w:rFonts w:ascii="Arial" w:cs="Arial" w:eastAsia="Arial" w:hAnsi="Arial"/>
                <w:b/>
                <w:bCs/>
                <w:color w:val="8B0000"/>
                <w:sz w:val="17"/>
                <w:szCs w:val="17"/>
              </w:rPr>
              <w:t xml:space="preserve">FVA &lt; 0%</w:t>
            </w:r>
          </w:p>
        </w:tc>
        <w:tc>
          <w:tcPr>
            <w:tcW w:type="dxa" w:w="32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Model is worse than a naive human estimate. No business value.</w:t>
            </w:r>
          </w:p>
        </w:tc>
        <w:tc>
          <w:tcPr>
            <w:tcW w:type="dxa" w:w="32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Do not deploy. Diagnose data quality, feature selection, or model choice.</w:t>
            </w:r>
          </w:p>
        </w:tc>
      </w:tr>
      <w:tr>
        <w:tc>
          <w:tcPr>
            <w:tcW w:type="dxa" w:w="2500"/>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bCs/>
                <w:color w:val="7B3F00"/>
                <w:sz w:val="17"/>
                <w:szCs w:val="17"/>
              </w:rPr>
              <w:t xml:space="preserve">FVA 0–10%</w:t>
            </w:r>
          </w:p>
        </w:tc>
        <w:tc>
          <w:tcPr>
            <w:tcW w:type="dxa" w:w="32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Marginal improvement. Likely not worth the operational complexity.</w:t>
            </w:r>
          </w:p>
        </w:tc>
        <w:tc>
          <w:tcPr>
            <w:tcW w:type="dxa" w:w="32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Investigate which items are dragging the average down before proceeding.</w:t>
            </w:r>
          </w:p>
        </w:tc>
      </w:tr>
      <w:tr>
        <w:tc>
          <w:tcPr>
            <w:tcW w:type="dxa" w:w="2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bCs/>
                <w:color w:val="2E5F99"/>
                <w:sz w:val="17"/>
                <w:szCs w:val="17"/>
              </w:rPr>
              <w:t xml:space="preserve">FVA 10–25%</w:t>
            </w:r>
          </w:p>
        </w:tc>
        <w:tc>
          <w:tcPr>
            <w:tcW w:type="dxa" w:w="32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Meaningful improvement. Worth deploying in Phase 3 with monitoring.</w:t>
            </w:r>
          </w:p>
        </w:tc>
        <w:tc>
          <w:tcPr>
            <w:tcW w:type="dxa" w:w="32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Deploy. Track weekly. Set item-level alerts for FVA turning negative.</w:t>
            </w:r>
          </w:p>
        </w:tc>
      </w:tr>
      <w:tr>
        <w:tc>
          <w:tcPr>
            <w:tcW w:type="dxa" w:w="2500"/>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bCs/>
                <w:color w:val="1E5631"/>
                <w:sz w:val="17"/>
                <w:szCs w:val="17"/>
              </w:rPr>
              <w:t xml:space="preserve">FVA &gt; 25%</w:t>
            </w:r>
          </w:p>
        </w:tc>
        <w:tc>
          <w:tcPr>
            <w:tcW w:type="dxa" w:w="32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Strong improvement. Business impact highly likely.</w:t>
            </w:r>
          </w:p>
        </w:tc>
        <w:tc>
          <w:tcPr>
            <w:tcW w:type="dxa" w:w="32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Deploy with confidence. Begin planning Phase 4 expansion.</w:t>
            </w:r>
          </w:p>
        </w:tc>
      </w:tr>
    </w:tbl>
    <w:p>
      <w:pPr>
        <w:spacing w:before="160" w:after="0"/>
      </w:pPr>
      <w:r>
        <w:t xml:space="preserve"/>
      </w:r>
    </w:p>
    <w:p>
      <w:pPr>
        <w:pStyle w:val="Heading2"/>
        <w:spacing w:before="240" w:after="100"/>
      </w:pPr>
      <w:r>
        <w:rPr>
          <w:rFonts w:ascii="Arial" w:cs="Arial" w:eastAsia="Arial" w:hAnsi="Arial"/>
          <w:b/>
          <w:bCs/>
          <w:color w:val="2E5F99"/>
          <w:sz w:val="22"/>
          <w:szCs w:val="22"/>
        </w:rPr>
        <w:t xml:space="preserve">1.2 Item Segmentation — Not All Items Need the Same Accuracy</w:t>
      </w:r>
    </w:p>
    <w:p>
      <w:pPr>
        <w:spacing w:before="60" w:after="60"/>
      </w:pPr>
      <w:r>
        <w:rPr>
          <w:rFonts w:ascii="Arial" w:cs="Arial" w:eastAsia="Arial" w:hAnsi="Arial"/>
          <w:sz w:val="18"/>
          <w:szCs w:val="18"/>
        </w:rPr>
        <w:t xml:space="preserve">Based on the demand characterisation analysis in the EDA, items should be benchmarked against tier-appropriate thresholds: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42"/>
        <w:gridCol w:w="2684"/>
      </w:tblGrid>
      <w:tr>
        <w:trPr>
          <w:tblHeader/>
        </w:trPr>
        <w:tc>
          <w:tcPr>
            <w:tcW w:type="dxa" w:w="20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5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Items (examples)</w:t>
            </w:r>
          </w:p>
        </w:tc>
        <w:tc>
          <w:tcPr>
            <w:tcW w:type="dxa" w:w="1842"/>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MAPE Target</w:t>
            </w:r>
          </w:p>
        </w:tc>
        <w:tc>
          <w:tcPr>
            <w:tcW w:type="dxa" w:w="2684"/>
            <w:gridSpan w:val="1"/>
            <w:tcBorders>
              <w:top w:val="single" w:color="999999" w:sz="4"/>
              <w:left w:val="single" w:color="999999" w:sz="4"/>
              <w:bottom w:val="single" w:color="999999" w:sz="4"/>
              <w:right w:val="single" w:color="999999" w:sz="4"/>
            </w:tcBorders>
            <w:shd w:fill="55555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A — Top Revenue
(CV &lt; 60%)</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Bananas, Lettuce, Cucumber, Broccoli, Carrots</w:t>
            </w:r>
          </w:p>
        </w:tc>
        <w:tc>
          <w:tcPr>
            <w:tcW w:type="dxa" w:w="1842"/>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bCs/>
                <w:color w:val="1E5631"/>
                <w:sz w:val="17"/>
                <w:szCs w:val="17"/>
              </w:rPr>
              <w:t xml:space="preserve">&lt; 18%</w:t>
            </w:r>
          </w:p>
        </w:tc>
        <w:tc>
          <w:tcPr>
            <w:tcW w:type="dxa" w:w="268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Stable demand. High volume. Model should excel here.</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B — Moderate
(CV 60–120%)</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Strawberries, Capsicums, Mushrooms, Snow Peas</w:t>
            </w:r>
          </w:p>
        </w:tc>
        <w:tc>
          <w:tcPr>
            <w:tcW w:type="dxa" w:w="1842"/>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bCs/>
                <w:color w:val="2E5F99"/>
                <w:sz w:val="17"/>
                <w:szCs w:val="17"/>
              </w:rPr>
              <w:t xml:space="preserve">&lt; 28%</w:t>
            </w:r>
          </w:p>
        </w:tc>
        <w:tc>
          <w:tcPr>
            <w:tcW w:type="dxa" w:w="268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More volatile. Consider weather features for seasonal items.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C — Intermittent
(CV &gt; 120% or &gt; 60% zero days)</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Cherries, Mangoes, Passionfruit, Specialty items</w:t>
            </w:r>
          </w:p>
        </w:tc>
        <w:tc>
          <w:tcPr>
            <w:tcW w:type="dxa" w:w="1842"/>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bCs/>
                <w:color w:val="7B3F00"/>
                <w:sz w:val="17"/>
                <w:szCs w:val="17"/>
              </w:rPr>
              <w:t xml:space="preserve">&lt; 40%
or use MAE</w:t>
            </w:r>
          </w:p>
        </w:tc>
        <w:tc>
          <w:tcPr>
            <w:tcW w:type="dxa" w:w="268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Use Croston's method or manual floor rules. MAPE unreliable.</w:t>
            </w:r>
          </w:p>
        </w:tc>
      </w:tr>
    </w:tbl>
    <w:p>
      <w:r>
        <w:br w:type="page"/>
      </w:r>
    </w:p>
    <w:p>
      <w:pPr>
        <w:pStyle w:val="Heading1"/>
        <w:pBdr>
          <w:bottom w:val="single" w:color="2E5F99" w:sz="8" w:space="4"/>
        </w:pBdr>
        <w:spacing w:before="320" w:after="160"/>
      </w:pPr>
      <w:r>
        <w:rPr>
          <w:rFonts w:ascii="Arial" w:cs="Arial" w:eastAsia="Arial" w:hAnsi="Arial"/>
          <w:b/>
          <w:bCs/>
          <w:color w:val="1F3864"/>
          <w:sz w:val="28"/>
          <w:szCs w:val="28"/>
        </w:rPr>
        <w:t xml:space="preserve">2. Business Impact KPIs</w:t>
      </w:r>
    </w:p>
    <w:p>
      <w:pPr>
        <w:spacing w:before="60" w:after="60"/>
      </w:pPr>
      <w:r>
        <w:rPr>
          <w:rFonts w:ascii="Arial" w:cs="Arial" w:eastAsia="Arial" w:hAnsi="Arial"/>
          <w:sz w:val="18"/>
          <w:szCs w:val="18"/>
        </w:rPr>
        <w:t xml:space="preserve">These metrics translate forecast accuracy into operational and financial outcomes. They are the ultimate measure of project success — a technically accurate model that does not reduce waste, improve GP, or save staff time has failed in practice.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99" w:sz="8"/>
              <w:left w:val="thick" w:color="2E5F99" w:sz="16"/>
              <w:bottom w:val="single" w:color="2E5F99" w:sz="8"/>
              <w:right w:val="none" w:color="2E5F99" w:sz="0"/>
            </w:tcBorders>
            <w:shd w:fill="D5E8F0" w:val="clear"/>
            <w:tcMar>
              <w:top w:type="dxa" w:w="120"/>
              <w:left w:type="dxa" w:w="200"/>
              <w:bottom w:type="dxa" w:w="120"/>
              <w:right w:type="dxa" w:w="120"/>
            </w:tcMar>
          </w:tcPr>
          <w:p>
            <w:pPr>
              <w:spacing w:before="0" w:after="0"/>
            </w:pPr>
            <w:r>
              <w:rPr>
                <w:rFonts w:ascii="Arial" w:cs="Arial" w:eastAsia="Arial" w:hAnsi="Arial"/>
                <w:i/>
                <w:iCs/>
                <w:sz w:val="17"/>
                <w:szCs w:val="17"/>
              </w:rPr>
              <w:t xml:space="preserve">Baseline measurement is critical. Before deploying the model in live operations (Phase 3), you must record current waste rate, stockout rate, order accuracy, and ordering time as a baseline. Without a baseline, it is impossible to measure improvement.</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800"/>
        <w:gridCol w:w="1266"/>
        <w:gridCol w:w="1860"/>
      </w:tblGrid>
      <w:tr>
        <w:trPr>
          <w:tblHeader/>
        </w:trPr>
        <w:tc>
          <w:tcPr>
            <w:tcW w:type="dxa" w:w="20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KPI</w:t>
            </w:r>
          </w:p>
        </w:tc>
        <w:tc>
          <w:tcPr>
            <w:tcW w:type="dxa" w:w="21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1800"/>
            <w:gridSpan w:val="1"/>
            <w:tcBorders>
              <w:top w:val="single" w:color="999999" w:sz="4"/>
              <w:left w:val="single" w:color="999999" w:sz="4"/>
              <w:bottom w:val="single" w:color="999999" w:sz="4"/>
              <w:right w:val="single" w:color="999999" w:sz="4"/>
            </w:tcBorders>
            <w:shd w:fill="55555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Industry
Benchmark / Baseline</w:t>
            </w:r>
          </w:p>
        </w:tc>
        <w:tc>
          <w:tcPr>
            <w:tcW w:type="dxa" w:w="1266"/>
            <w:gridSpan w:val="1"/>
            <w:tcBorders>
              <w:top w:val="single" w:color="999999" w:sz="4"/>
              <w:left w:val="single" w:color="999999" w:sz="4"/>
              <w:bottom w:val="single" w:color="999999" w:sz="4"/>
              <w:right w:val="single" w:color="999999" w:sz="4"/>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 1
Target</w:t>
            </w:r>
          </w:p>
        </w:tc>
        <w:tc>
          <w:tcPr>
            <w:tcW w:type="dxa" w:w="1860"/>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How to Measure</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Waste Rate</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Cost of Wasted Produce / Cost Received × 100</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8–12% indie retail AU
(FIAL Fresh Produce Report)</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&lt; 7%</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Monthly: weigh / value items disposed. Record as % of delivery value.</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Stockout Rate</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Days item unavailable / Total op. days × 100</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3–8% fresh produce
(GS1 Australia, 2019)</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&lt; 2%</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Daily log: mark items out-of-stock before next delivery. Count per period.</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Order Accuracy</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Orders where consumption fell within ±20% of qty ordered / Total orders × 100</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~60% manual ordering
(internal estimate)</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&gt; 75%</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Compare each order qty against actual consumption for the covered period.</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Gross Profit Uplift</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(GP$ this period − GP$ same period prior yr) / GP$ prior yr × 100</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+2–5% from forecasting
(ECR Europe Supply Chain Study)</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+2% Yr 1
+4% Yr 2</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Monthly: pull from POS reports. Isolate F&amp;V department. Adjust for price changes.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Time Saved
(Ordering Process)</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Minutes per order cycle (before vs after)</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444444"/>
                <w:sz w:val="17"/>
                <w:szCs w:val="17"/>
              </w:rPr>
              <w:t xml:space="preserve">Benchmark: 45–60 min/cycle manual
(Foodland Wudinna estimate)</w:t>
            </w:r>
          </w:p>
        </w:tc>
        <w:tc>
          <w:tcPr>
            <w:tcW w:type="dxa" w:w="1266"/>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&lt; 15 min/cycle</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Time-stamp order start → submission. Log weekly. Report monthly average.</w:t>
            </w:r>
          </w:p>
        </w:tc>
      </w:tr>
    </w:tbl>
    <w:p>
      <w:pPr>
        <w:spacing w:before="160" w:after="0"/>
      </w:pPr>
      <w:r>
        <w:t xml:space="preserve"/>
      </w:r>
    </w:p>
    <w:p>
      <w:pPr>
        <w:pStyle w:val="Heading2"/>
        <w:spacing w:before="240" w:after="100"/>
      </w:pPr>
      <w:r>
        <w:rPr>
          <w:rFonts w:ascii="Arial" w:cs="Arial" w:eastAsia="Arial" w:hAnsi="Arial"/>
          <w:b/>
          <w:bCs/>
          <w:color w:val="2E5F99"/>
          <w:sz w:val="22"/>
          <w:szCs w:val="22"/>
        </w:rPr>
        <w:t xml:space="preserve">2.1 Financial Impact Modelling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8"/>
              <w:left w:val="thick" w:color="B8860B" w:sz="16"/>
              <w:bottom w:val="single" w:color="B8860B" w:sz="8"/>
              <w:right w:val="none" w:color="B8860B" w:sz="0"/>
            </w:tcBorders>
            <w:shd w:fill="FFF3CD" w:val="clear"/>
            <w:tcMar>
              <w:top w:type="dxa" w:w="120"/>
              <w:left w:type="dxa" w:w="200"/>
              <w:bottom w:type="dxa" w:w="120"/>
              <w:right w:type="dxa" w:w="120"/>
            </w:tcMar>
          </w:tcPr>
          <w:p>
            <w:pPr>
              <w:spacing w:before="0" w:after="0"/>
            </w:pPr>
            <w:r>
              <w:rPr>
                <w:rFonts w:ascii="Arial" w:cs="Arial" w:eastAsia="Arial" w:hAnsi="Arial"/>
                <w:i/>
                <w:iCs/>
                <w:sz w:val="17"/>
                <w:szCs w:val="17"/>
              </w:rPr>
              <w:t xml:space="preserve">DATA COVERAGE NOTE: The current dataset covers January to March 19 only (~78 operating days per year). All calculations below are first stated for the observable Jan–Mar period, then scaled to a full-year estimate with explicit assumptions. Full-year figures should be treated as rough directional estimates until April–December data is collected.</w:t>
            </w:r>
          </w:p>
        </w:tc>
      </w:tr>
    </w:tbl>
    <w:p>
      <w:pPr>
        <w:spacing w:before="100" w:after="0"/>
      </w:pPr>
      <w:r>
        <w:t xml:space="preserve"/>
      </w:r>
    </w:p>
    <w:p>
      <w:pPr>
        <w:spacing w:before="180" w:after="80"/>
      </w:pPr>
      <w:r>
        <w:rPr>
          <w:rFonts w:ascii="Arial" w:cs="Arial" w:eastAsia="Arial" w:hAnsi="Arial"/>
          <w:b/>
          <w:bCs/>
          <w:color w:val="404040"/>
          <w:sz w:val="20"/>
          <w:szCs w:val="20"/>
        </w:rPr>
        <w:t xml:space="preserve">Observed Period Base (Jan–Mar, average of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Line Item</w:t>
            </w:r>
          </w:p>
        </w:tc>
        <w:tc>
          <w:tcPr>
            <w:tcW w:type="dxa" w:w="2763"/>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c>
          <w:tcPr>
            <w:tcW w:type="dxa" w:w="2763"/>
            <w:gridSpan w:val="1"/>
            <w:tcBorders>
              <w:top w:val="single" w:color="999999" w:sz="4"/>
              <w:left w:val="single" w:color="999999" w:sz="4"/>
              <w:bottom w:val="single" w:color="999999" w:sz="4"/>
              <w:right w:val="single" w:color="999999" w:sz="4"/>
            </w:tcBorders>
            <w:shd w:fill="55555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Revenue (Jan–Mar, avg 2025/26)</w:t>
            </w:r>
          </w:p>
        </w:tc>
        <w:tc>
          <w:tcPr>
            <w:tcW w:type="dxa" w:w="27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$163,700</w:t>
            </w:r>
          </w:p>
        </w:tc>
        <w:tc>
          <w:tcPr>
            <w:tcW w:type="dxa" w:w="27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From EDA: $165,846 (2025) and $161,553 (2026)</w:t>
            </w:r>
          </w:p>
        </w:tc>
      </w:tr>
      <w:tr>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Cost of Goods Sold (COGS)</w:t>
            </w:r>
          </w:p>
        </w:tc>
        <w:tc>
          <w:tcPr>
            <w:tcW w:type="dxa" w:w="27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$101,700</w:t>
            </w:r>
          </w:p>
        </w:tc>
        <w:tc>
          <w:tcPr>
            <w:tcW w:type="dxa" w:w="27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Revenue × (1 − 37.9% GP margin)</w:t>
            </w:r>
          </w:p>
        </w:tc>
      </w:tr>
      <w:tr>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Gross Profit</w:t>
            </w:r>
          </w:p>
        </w:tc>
        <w:tc>
          <w:tcPr>
            <w:tcW w:type="dxa" w:w="27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$62,000</w:t>
            </w:r>
          </w:p>
        </w:tc>
        <w:tc>
          <w:tcPr>
            <w:tcW w:type="dxa" w:w="27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Revenue × 37.9% margin (from EDA)</w:t>
            </w:r>
          </w:p>
        </w:tc>
      </w:tr>
      <w:tr>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Operating days in period</w:t>
            </w:r>
          </w:p>
        </w:tc>
        <w:tc>
          <w:tcPr>
            <w:tcW w:type="dxa" w:w="2763"/>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~78 days</w:t>
            </w:r>
          </w:p>
        </w:tc>
        <w:tc>
          <w:tcPr>
            <w:tcW w:type="dxa" w:w="276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Jan 1–Mar 19, excluding Sundays</w:t>
            </w:r>
          </w:p>
        </w:tc>
      </w:tr>
    </w:tbl>
    <w:p>
      <w:pPr>
        <w:spacing w:before="120" w:after="0"/>
      </w:pPr>
      <w:r>
        <w:t xml:space="preserve"/>
      </w:r>
    </w:p>
    <w:p>
      <w:pPr>
        <w:spacing w:before="180" w:after="80"/>
      </w:pPr>
      <w:r>
        <w:rPr>
          <w:rFonts w:ascii="Arial" w:cs="Arial" w:eastAsia="Arial" w:hAnsi="Arial"/>
          <w:b/>
          <w:bCs/>
          <w:color w:val="404040"/>
          <w:sz w:val="20"/>
          <w:szCs w:val="20"/>
        </w:rPr>
        <w:t xml:space="preserve">Estimated Savings — Jan–Mar Period vs Full Year</w:t>
      </w:r>
    </w:p>
    <w:p>
      <w:pPr>
        <w:spacing w:before="60" w:after="60"/>
      </w:pPr>
      <w:r>
        <w:rPr>
          <w:rFonts w:ascii="Arial" w:cs="Arial" w:eastAsia="Arial" w:hAnsi="Arial"/>
          <w:sz w:val="18"/>
          <w:szCs w:val="18"/>
        </w:rPr>
        <w:t xml:space="preserve">The full-year multiplier applies a conservative 2.5× factor (assuming Jan–Mar represents ~40% of annual waste and stockout impact, reflecting above-average summer demand) and an optimistic 4.0× factor (flat distribution across the year). Staff time savings apply to all 52 weeks regardless of the data window.</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56"/>
        <w:gridCol w:w="1560"/>
        <w:gridCol w:w="1560"/>
        <w:gridCol w:w="2150"/>
      </w:tblGrid>
      <w:tr>
        <w:trPr>
          <w:tblHeader/>
        </w:trPr>
        <w:tc>
          <w:tcPr>
            <w:tcW w:type="dxa" w:w="24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Improvement Lever</w:t>
            </w:r>
          </w:p>
        </w:tc>
        <w:tc>
          <w:tcPr>
            <w:tcW w:type="dxa" w:w="1356"/>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Jan–Mar
Period</w:t>
            </w:r>
          </w:p>
        </w:tc>
        <w:tc>
          <w:tcPr>
            <w:tcW w:type="dxa" w:w="1560"/>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Full-Year
Conservative</w:t>
            </w:r>
          </w:p>
        </w:tc>
        <w:tc>
          <w:tcPr>
            <w:tcW w:type="dxa" w:w="1560"/>
            <w:gridSpan w:val="1"/>
            <w:tcBorders>
              <w:top w:val="single" w:color="999999" w:sz="4"/>
              <w:left w:val="single" w:color="999999" w:sz="4"/>
              <w:bottom w:val="single" w:color="999999" w:sz="4"/>
              <w:right w:val="single" w:color="999999" w:sz="4"/>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Full-Year
Optimistic</w:t>
            </w:r>
          </w:p>
        </w:tc>
        <w:tc>
          <w:tcPr>
            <w:tcW w:type="dxa" w:w="2150"/>
            <w:gridSpan w:val="1"/>
            <w:tcBorders>
              <w:top w:val="single" w:color="999999" w:sz="4"/>
              <w:left w:val="single" w:color="999999" w:sz="4"/>
              <w:bottom w:val="single" w:color="999999" w:sz="4"/>
              <w:right w:val="single" w:color="999999" w:sz="4"/>
            </w:tcBorders>
            <w:shd w:fill="55555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Methodology</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Waste Reduction (10% → 7% of COGS)</w:t>
            </w:r>
          </w:p>
        </w:tc>
        <w:tc>
          <w:tcPr>
            <w:tcW w:type="dxa" w:w="1356"/>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val="false"/>
                <w:bCs w:val="false"/>
                <w:color w:val="7B3F00"/>
                <w:sz w:val="17"/>
                <w:szCs w:val="17"/>
              </w:rPr>
              <w:t xml:space="preserve">~$3,050</w:t>
            </w:r>
          </w:p>
        </w:tc>
        <w:tc>
          <w:tcPr>
            <w:tcW w:type="dxa" w:w="1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~$7,600</w:t>
            </w:r>
          </w:p>
        </w:tc>
        <w:tc>
          <w:tcPr>
            <w:tcW w:type="dxa" w:w="1560"/>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~$12,200</w:t>
            </w:r>
          </w:p>
        </w:tc>
        <w:tc>
          <w:tcPr>
            <w:tcW w:type="dxa" w:w="21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3% × $101.7K COGS. Annual: period × 2.5× or 4×</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Stockout Recovery (1.5% revenue)</w:t>
            </w:r>
          </w:p>
        </w:tc>
        <w:tc>
          <w:tcPr>
            <w:tcW w:type="dxa" w:w="1356"/>
            <w:tcBorders>
              <w:top w:val="single" w:color="CCCCCC" w:sz="4"/>
              <w:left w:val="single" w:color="CCCCCC" w:sz="4"/>
              <w:bottom w:val="single" w:color="CCCCCC" w:sz="4"/>
              <w:right w:val="single" w:color="CCCCCC" w:sz="4"/>
            </w:tcBorders>
            <w:shd w:fill="FFF3CD" w:val="clear"/>
            <w:tcMar>
              <w:top w:type="dxa" w:w="100"/>
              <w:left w:type="dxa" w:w="140"/>
              <w:bottom w:type="dxa" w:w="100"/>
              <w:right w:type="dxa" w:w="140"/>
            </w:tcMar>
          </w:tcPr>
          <w:p>
            <w:pPr>
              <w:jc w:val="center"/>
            </w:pPr>
            <w:r>
              <w:rPr>
                <w:rFonts w:ascii="Arial" w:cs="Arial" w:eastAsia="Arial" w:hAnsi="Arial"/>
                <w:b w:val="false"/>
                <w:bCs w:val="false"/>
                <w:color w:val="7B3F00"/>
                <w:sz w:val="17"/>
                <w:szCs w:val="17"/>
              </w:rPr>
              <w:t xml:space="preserve">~$2,455</w:t>
            </w:r>
          </w:p>
        </w:tc>
        <w:tc>
          <w:tcPr>
            <w:tcW w:type="dxa" w:w="1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~$6,100</w:t>
            </w:r>
          </w:p>
        </w:tc>
        <w:tc>
          <w:tcPr>
            <w:tcW w:type="dxa" w:w="1560"/>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~$9,800</w:t>
            </w:r>
          </w:p>
        </w:tc>
        <w:tc>
          <w:tcPr>
            <w:tcW w:type="dxa" w:w="21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1.5% × $163.7K revenue. Annual: period × 2.5× or 4×</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Staff Time Savings (1.5 hrs/cycle, 2 cycles/wk)</w:t>
            </w:r>
          </w:p>
        </w:tc>
        <w:tc>
          <w:tcPr>
            <w:tcW w:type="dxa" w:w="135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7"/>
                <w:szCs w:val="17"/>
              </w:rPr>
              <w:t xml:space="preserve">N/A</w:t>
            </w:r>
          </w:p>
        </w:tc>
        <w:tc>
          <w:tcPr>
            <w:tcW w:type="dxa" w:w="1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rFonts w:ascii="Arial" w:cs="Arial" w:eastAsia="Arial" w:hAnsi="Arial"/>
                <w:b w:val="false"/>
                <w:bCs w:val="false"/>
                <w:color w:val="000000"/>
                <w:sz w:val="17"/>
                <w:szCs w:val="17"/>
              </w:rPr>
              <w:t xml:space="preserve">~$2,730</w:t>
            </w:r>
          </w:p>
        </w:tc>
        <w:tc>
          <w:tcPr>
            <w:tcW w:type="dxa" w:w="1560"/>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center"/>
            </w:pPr>
            <w:r>
              <w:rPr>
                <w:rFonts w:ascii="Arial" w:cs="Arial" w:eastAsia="Arial" w:hAnsi="Arial"/>
                <w:b w:val="false"/>
                <w:bCs w:val="false"/>
                <w:color w:val="1E5631"/>
                <w:sz w:val="17"/>
                <w:szCs w:val="17"/>
              </w:rPr>
              <w:t xml:space="preserve">~$3,900</w:t>
            </w:r>
          </w:p>
        </w:tc>
        <w:tc>
          <w:tcPr>
            <w:tcW w:type="dxa" w:w="21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78–104 hrs/yr × $35–50/hr. Applies to all 52 weeks.</w:t>
            </w:r>
          </w:p>
        </w:tc>
      </w:tr>
      <w:tr>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jc w:val="left"/>
            </w:pPr>
            <w:r>
              <w:rPr>
                <w:rFonts w:ascii="Arial" w:cs="Arial" w:eastAsia="Arial" w:hAnsi="Arial"/>
                <w:b/>
                <w:bCs/>
                <w:color w:val="FFFFFF"/>
                <w:sz w:val="17"/>
                <w:szCs w:val="17"/>
              </w:rPr>
              <w:t xml:space="preserve">TOTAL ESTIMATED ANNUAL BENEFIT</w:t>
            </w:r>
          </w:p>
        </w:tc>
        <w:tc>
          <w:tcPr>
            <w:tcW w:type="dxa" w:w="1356"/>
            <w:tcBorders>
              <w:top w:val="single" w:color="CCCCCC" w:sz="4"/>
              <w:left w:val="single" w:color="CCCCCC" w:sz="4"/>
              <w:bottom w:val="single" w:color="CCCCCC" w:sz="4"/>
              <w:right w:val="single" w:color="CCCCCC" w:sz="4"/>
            </w:tcBorders>
            <w:shd w:fill="555555"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~$5,500
(period only)</w:t>
            </w:r>
          </w:p>
        </w:tc>
        <w:tc>
          <w:tcPr>
            <w:tcW w:type="dxa" w:w="1560"/>
            <w:tcBorders>
              <w:top w:val="single" w:color="CCCCCC" w:sz="4"/>
              <w:left w:val="single" w:color="CCCCCC" w:sz="4"/>
              <w:bottom w:val="single" w:color="CCCCCC" w:sz="4"/>
              <w:right w:val="single" w:color="CCCCCC" w:sz="4"/>
            </w:tcBorders>
            <w:shd w:fill="2E5F9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~$16,500/yr</w:t>
            </w:r>
          </w:p>
        </w:tc>
        <w:tc>
          <w:tcPr>
            <w:tcW w:type="dxa" w:w="1560"/>
            <w:tcBorders>
              <w:top w:val="single" w:color="CCCCCC" w:sz="4"/>
              <w:left w:val="single" w:color="CCCCCC" w:sz="4"/>
              <w:bottom w:val="single" w:color="CCCCCC" w:sz="4"/>
              <w:right w:val="single" w:color="CCCCCC" w:sz="4"/>
            </w:tcBorders>
            <w:shd w:fill="2E7D32"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~$24,800/yr</w:t>
            </w:r>
          </w:p>
        </w:tc>
        <w:tc>
          <w:tcPr>
            <w:tcW w:type="dxa" w:w="215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jc w:val="left"/>
            </w:pPr>
            <w:r>
              <w:rPr>
                <w:rFonts w:ascii="Arial" w:cs="Arial" w:eastAsia="Arial" w:hAnsi="Arial"/>
                <w:b w:val="false"/>
                <w:bCs w:val="false"/>
                <w:color w:val="AAAAAA"/>
                <w:sz w:val="17"/>
                <w:szCs w:val="17"/>
              </w:rPr>
              <w:t xml:space="preserve">Before technology costs. Requires full-year data to confirm.</w:t>
            </w:r>
          </w:p>
        </w:tc>
      </w:tr>
    </w:tbl>
    <w:p>
      <w:pPr>
        <w:spacing w:before="100" w:after="0"/>
      </w:pPr>
      <w:r>
        <w:t xml:space="preserve"/>
      </w:r>
    </w:p>
    <w:p>
      <w:pPr>
        <w:spacing w:before="60" w:after="60"/>
      </w:pPr>
      <w:r>
        <w:rPr>
          <w:rFonts w:ascii="Arial" w:cs="Arial" w:eastAsia="Arial" w:hAnsi="Arial"/>
          <w:sz w:val="18"/>
          <w:szCs w:val="18"/>
        </w:rPr>
        <w:t xml:space="preserve">These estimates will be refined when April–December data is available. The full-year figure is expected to be higher than the conservative estimate because: (1) the store operates more order cycles across the full year, (2) winter months introduce different produce categories with potentially different waste profiles, and (3) the compounding effect of stockout reduction is greater over a longer period.</w:t>
      </w:r>
    </w:p>
    <w:p>
      <w:r>
        <w:br w:type="page"/>
      </w:r>
    </w:p>
    <w:p>
      <w:pPr>
        <w:pStyle w:val="Heading1"/>
        <w:pBdr>
          <w:bottom w:val="single" w:color="2E5F99" w:sz="8" w:space="4"/>
        </w:pBdr>
        <w:spacing w:before="320" w:after="160"/>
      </w:pPr>
      <w:r>
        <w:rPr>
          <w:rFonts w:ascii="Arial" w:cs="Arial" w:eastAsia="Arial" w:hAnsi="Arial"/>
          <w:b/>
          <w:bCs/>
          <w:color w:val="1F3864"/>
          <w:sz w:val="28"/>
          <w:szCs w:val="28"/>
        </w:rPr>
        <w:t xml:space="preserve">3. Phased Success Targets</w:t>
      </w:r>
    </w:p>
    <w:p>
      <w:pPr>
        <w:spacing w:before="60" w:after="60"/>
      </w:pPr>
      <w:r>
        <w:rPr>
          <w:rFonts w:ascii="Arial" w:cs="Arial" w:eastAsia="Arial" w:hAnsi="Arial"/>
          <w:sz w:val="18"/>
          <w:szCs w:val="18"/>
        </w:rPr>
        <w:t xml:space="preserve">The project is structured in four phases. Moving from one phase to the next requires meeting the success criteria of the current phase. Skipping phases — particularly deploying live (Phase 3) without validating accuracy in shadow mode (Phase 2) — significantly increases the risk of operational disruption.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42"/>
        <w:gridCol w:w="2242"/>
        <w:gridCol w:w="2942"/>
      </w:tblGrid>
      <w:tr>
        <w:trPr>
          <w:tblHeader/>
        </w:trPr>
        <w:tc>
          <w:tcPr>
            <w:tcW w:type="dxa" w:w="16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242"/>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2242"/>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Changes</w:t>
            </w:r>
          </w:p>
        </w:tc>
        <w:tc>
          <w:tcPr>
            <w:tcW w:type="dxa" w:w="2942"/>
            <w:gridSpan w:val="1"/>
            <w:tcBorders>
              <w:top w:val="single" w:color="999999" w:sz="4"/>
              <w:left w:val="single" w:color="999999" w:sz="4"/>
              <w:bottom w:val="single" w:color="999999" w:sz="4"/>
              <w:right w:val="single" w:color="999999" w:sz="4"/>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Success Criteria</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Phase 1
Months 1–3</w:t>
            </w:r>
          </w:p>
        </w:tc>
        <w:tc>
          <w:tcPr>
            <w:tcW w:type="dxa" w:w="2242"/>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Foundation &amp; Baselining</w:t>
            </w:r>
          </w:p>
        </w:tc>
        <w:tc>
          <w:tcPr>
            <w:tcW w:type="dxa" w:w="224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Collect Apr–Dec POS data for 2025 and 2026. Model trained on Jan–Mar data initially, retrained once full data is available. Running in shadow mode alongside manual orders. No live impact yet.</w:t>
            </w:r>
          </w:p>
        </w:tc>
        <w:tc>
          <w:tcPr>
            <w:tcW w:type="dxa" w:w="2942"/>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left"/>
            </w:pPr>
            <w:r>
              <w:rPr>
                <w:rFonts w:ascii="Arial" w:cs="Arial" w:eastAsia="Arial" w:hAnsi="Arial"/>
                <w:b w:val="false"/>
                <w:bCs w:val="false"/>
                <w:color w:val="1E5631"/>
                <w:sz w:val="17"/>
                <w:szCs w:val="17"/>
              </w:rPr>
              <w:t xml:space="preserve">April–December data integrated. Baseline waste rate, stockout rate, order time established. Naive model MAE recorded. FVA calculation framework ready.</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Phase 2
Months 4–6</w:t>
            </w:r>
          </w:p>
        </w:tc>
        <w:tc>
          <w:tcPr>
            <w:tcW w:type="dxa" w:w="2242"/>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Pilot — Parallel Running</w:t>
            </w:r>
          </w:p>
        </w:tc>
        <w:tc>
          <w:tcPr>
            <w:tcW w:type="dxa" w:w="224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Model recommendations shown to staff. Staff place orders manually but log both their qty and model qty. No operational change yet.</w:t>
            </w:r>
          </w:p>
        </w:tc>
        <w:tc>
          <w:tcPr>
            <w:tcW w:type="dxa" w:w="2942"/>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left"/>
            </w:pPr>
            <w:r>
              <w:rPr>
                <w:rFonts w:ascii="Arial" w:cs="Arial" w:eastAsia="Arial" w:hAnsi="Arial"/>
                <w:b w:val="false"/>
                <w:bCs w:val="false"/>
                <w:color w:val="1E5631"/>
                <w:sz w:val="17"/>
                <w:szCs w:val="17"/>
              </w:rPr>
              <w:t xml:space="preserve">MAPE &lt; 30%, FVA &gt; 10%. Model beats naive on &gt; 7 of 10 top items. Bias within ±10%.</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Phase 3
Months 7–12</w:t>
            </w:r>
          </w:p>
        </w:tc>
        <w:tc>
          <w:tcPr>
            <w:tcW w:type="dxa" w:w="2242"/>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Live — Model-Assisted Ordering</w:t>
            </w:r>
          </w:p>
        </w:tc>
        <w:tc>
          <w:tcPr>
            <w:tcW w:type="dxa" w:w="224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Model drives suggested qty. Staff confirm or override in the Order Form. Weather features active for seasonal items.</w:t>
            </w:r>
          </w:p>
        </w:tc>
        <w:tc>
          <w:tcPr>
            <w:tcW w:type="dxa" w:w="2942"/>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left"/>
            </w:pPr>
            <w:r>
              <w:rPr>
                <w:rFonts w:ascii="Arial" w:cs="Arial" w:eastAsia="Arial" w:hAnsi="Arial"/>
                <w:b w:val="false"/>
                <w:bCs w:val="false"/>
                <w:color w:val="1E5631"/>
                <w:sz w:val="17"/>
                <w:szCs w:val="17"/>
              </w:rPr>
              <w:t xml:space="preserve">MAPE &lt; 22%, FVA &gt; 20%. Waste rate &lt; 7%. Stockout rate &lt; 2%. Order time &lt; 15 min. GP uplift ≥ +2%.</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Phase 4
Year 2+</w:t>
            </w:r>
          </w:p>
        </w:tc>
        <w:tc>
          <w:tcPr>
            <w:tcW w:type="dxa" w:w="2242"/>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bCs/>
                <w:color w:val="000000"/>
                <w:sz w:val="17"/>
                <w:szCs w:val="17"/>
              </w:rPr>
              <w:t xml:space="preserve">Optimisation</w:t>
            </w:r>
          </w:p>
        </w:tc>
        <w:tc>
          <w:tcPr>
            <w:tcW w:type="dxa" w:w="224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Add LightGBM cross-item model once 24+ months of data available. Expand to other departments if results warrant.</w:t>
            </w:r>
          </w:p>
        </w:tc>
        <w:tc>
          <w:tcPr>
            <w:tcW w:type="dxa" w:w="2942"/>
            <w:tcBorders>
              <w:top w:val="single" w:color="CCCCCC" w:sz="4"/>
              <w:left w:val="single" w:color="CCCCCC" w:sz="4"/>
              <w:bottom w:val="single" w:color="CCCCCC" w:sz="4"/>
              <w:right w:val="single" w:color="CCCCCC" w:sz="4"/>
            </w:tcBorders>
            <w:shd w:fill="D8EDD2" w:val="clear"/>
            <w:tcMar>
              <w:top w:type="dxa" w:w="100"/>
              <w:left w:type="dxa" w:w="140"/>
              <w:bottom w:type="dxa" w:w="100"/>
              <w:right w:type="dxa" w:w="140"/>
            </w:tcMar>
          </w:tcPr>
          <w:p>
            <w:pPr>
              <w:jc w:val="left"/>
            </w:pPr>
            <w:r>
              <w:rPr>
                <w:rFonts w:ascii="Arial" w:cs="Arial" w:eastAsia="Arial" w:hAnsi="Arial"/>
                <w:b w:val="false"/>
                <w:bCs w:val="false"/>
                <w:color w:val="1E5631"/>
                <w:sz w:val="17"/>
                <w:szCs w:val="17"/>
              </w:rPr>
              <w:t xml:space="preserve">MAPE &lt; 15% for top 20 items. GP uplift ≥ +4%. Automate order submission (email to Freshlink).</w:t>
            </w:r>
          </w:p>
        </w:tc>
      </w:tr>
    </w:tbl>
    <w:p>
      <w:pPr>
        <w:spacing w:before="160" w:after="0"/>
      </w:pPr>
      <w:r>
        <w:t xml:space="preserve"/>
      </w:r>
    </w:p>
    <w:p>
      <w:pPr>
        <w:pStyle w:val="Heading1"/>
        <w:pBdr>
          <w:bottom w:val="single" w:color="2E5F99" w:sz="8" w:space="4"/>
        </w:pBdr>
        <w:spacing w:before="320" w:after="160"/>
      </w:pPr>
      <w:r>
        <w:rPr>
          <w:rFonts w:ascii="Arial" w:cs="Arial" w:eastAsia="Arial" w:hAnsi="Arial"/>
          <w:b/>
          <w:bCs/>
          <w:color w:val="1F3864"/>
          <w:sz w:val="28"/>
          <w:szCs w:val="28"/>
        </w:rPr>
        <w:t xml:space="preserve">4. Failure Flags &amp; Corrective Actions</w:t>
      </w:r>
    </w:p>
    <w:p>
      <w:pPr>
        <w:spacing w:before="60" w:after="60"/>
      </w:pPr>
      <w:r>
        <w:rPr>
          <w:rFonts w:ascii="Arial" w:cs="Arial" w:eastAsia="Arial" w:hAnsi="Arial"/>
          <w:sz w:val="18"/>
          <w:szCs w:val="18"/>
        </w:rPr>
        <w:t xml:space="preserve">The following conditions constitute project failure signals that require immediate attention. They are not reasons to abandon the project outright — each has a defined corrective path — but they must not be ignored or allowed to persist beyond one review cycle.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rPr>
          <w:tblHeader/>
        </w:trPr>
        <w:tc>
          <w:tcPr>
            <w:tcW w:type="dxa" w:w="3013"/>
            <w:gridSpan w:val="1"/>
            <w:tcBorders>
              <w:top w:val="single" w:color="999999" w:sz="4"/>
              <w:left w:val="single" w:color="999999" w:sz="4"/>
              <w:bottom w:val="single" w:color="999999" w:sz="4"/>
              <w:right w:val="single" w:color="999999" w:sz="4"/>
            </w:tcBorders>
            <w:shd w:fill="8B000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Failure Flag</w:t>
            </w:r>
          </w:p>
        </w:tc>
        <w:tc>
          <w:tcPr>
            <w:tcW w:type="dxa" w:w="3013"/>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Means</w:t>
            </w:r>
          </w:p>
        </w:tc>
        <w:tc>
          <w:tcPr>
            <w:tcW w:type="dxa" w:w="3000"/>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Corrective Action</w:t>
            </w:r>
          </w:p>
        </w:tc>
      </w:tr>
      <w:tr>
        <w:tc>
          <w:tcPr>
            <w:tcW w:type="dxa" w:w="301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left"/>
            </w:pPr>
            <w:r>
              <w:rPr>
                <w:rFonts w:ascii="Arial" w:cs="Arial" w:eastAsia="Arial" w:hAnsi="Arial"/>
                <w:b/>
                <w:bCs/>
                <w:color w:val="8B0000"/>
                <w:sz w:val="17"/>
                <w:szCs w:val="17"/>
              </w:rPr>
              <w:t xml:space="preserve">FVA consistently &lt; 0%
(after Phase 2)</w:t>
            </w:r>
          </w:p>
        </w:tc>
        <w:tc>
          <w:tcPr>
            <w:tcW w:type="dxa" w:w="3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Model is performing WORSE than a staff member's intuition. No value from the system as built.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Review training data quality. Check for data leakage. Consider switching to per-item simple ETS first.</w:t>
            </w:r>
          </w:p>
        </w:tc>
      </w:tr>
      <w:tr>
        <w:tc>
          <w:tcPr>
            <w:tcW w:type="dxa" w:w="301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left"/>
            </w:pPr>
            <w:r>
              <w:rPr>
                <w:rFonts w:ascii="Arial" w:cs="Arial" w:eastAsia="Arial" w:hAnsi="Arial"/>
                <w:b/>
                <w:bCs/>
                <w:color w:val="8B0000"/>
                <w:sz w:val="17"/>
                <w:szCs w:val="17"/>
              </w:rPr>
              <w:t xml:space="preserve">Bias persistently &gt; +15%
(systematic over-ordering)</w:t>
            </w:r>
          </w:p>
        </w:tc>
        <w:tc>
          <w:tcPr>
            <w:tcW w:type="dxa" w:w="3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Model is ordering too much stock. Waste rate will increase, not decrease.</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Review item-level bias. Check if pack-size rounding is compounding. Add bias correction layer.</w:t>
            </w:r>
          </w:p>
        </w:tc>
      </w:tr>
      <w:tr>
        <w:tc>
          <w:tcPr>
            <w:tcW w:type="dxa" w:w="301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left"/>
            </w:pPr>
            <w:r>
              <w:rPr>
                <w:rFonts w:ascii="Arial" w:cs="Arial" w:eastAsia="Arial" w:hAnsi="Arial"/>
                <w:b/>
                <w:bCs/>
                <w:color w:val="8B0000"/>
                <w:sz w:val="17"/>
                <w:szCs w:val="17"/>
              </w:rPr>
              <w:t xml:space="preserve">Bias persistently &lt; -15%
(systematic under-ordering)</w:t>
            </w:r>
          </w:p>
        </w:tc>
        <w:tc>
          <w:tcPr>
            <w:tcW w:type="dxa" w:w="3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Model is consistently under-forecasting. Stockout rate will increase.</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Check for demand trend upward. Add recency weighting to training. Review seasonal adjustment.</w:t>
            </w:r>
          </w:p>
        </w:tc>
      </w:tr>
      <w:tr>
        <w:tc>
          <w:tcPr>
            <w:tcW w:type="dxa" w:w="301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left"/>
            </w:pPr>
            <w:r>
              <w:rPr>
                <w:rFonts w:ascii="Arial" w:cs="Arial" w:eastAsia="Arial" w:hAnsi="Arial"/>
                <w:b/>
                <w:bCs/>
                <w:color w:val="8B0000"/>
                <w:sz w:val="17"/>
                <w:szCs w:val="17"/>
              </w:rPr>
              <w:t xml:space="preserve">Stockout rate increases
above 8% after Phase 3</w:t>
            </w:r>
          </w:p>
        </w:tc>
        <w:tc>
          <w:tcPr>
            <w:tcW w:type="dxa" w:w="3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Live deployment is actively harming customer experience — worse than the manual process.</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Immediately revert to manual ordering. Diagnose by item. Consider adding a safety stock floor.</w:t>
            </w:r>
          </w:p>
        </w:tc>
      </w:tr>
      <w:tr>
        <w:tc>
          <w:tcPr>
            <w:tcW w:type="dxa" w:w="3013"/>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tcPr>
          <w:p>
            <w:pPr>
              <w:jc w:val="left"/>
            </w:pPr>
            <w:r>
              <w:rPr>
                <w:rFonts w:ascii="Arial" w:cs="Arial" w:eastAsia="Arial" w:hAnsi="Arial"/>
                <w:b/>
                <w:bCs/>
                <w:color w:val="8B0000"/>
                <w:sz w:val="17"/>
                <w:szCs w:val="17"/>
              </w:rPr>
              <w:t xml:space="preserve">Staff override rate &gt; 70%
in Phase 3</w:t>
            </w:r>
          </w:p>
        </w:tc>
        <w:tc>
          <w:tcPr>
            <w:tcW w:type="dxa" w:w="3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Staff don't trust the model. Either the model is wrong, or the change management is insufficient.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Review per-item accuracy. Identify which items staff override most. Improve those items first.</w:t>
            </w:r>
          </w:p>
        </w:tc>
      </w:tr>
    </w:tbl>
    <w:p>
      <w:pPr>
        <w:spacing w:before="160" w:after="0"/>
      </w:pPr>
      <w:r>
        <w:t xml:space="preserve"/>
      </w:r>
    </w:p>
    <w:p>
      <w:pPr>
        <w:pStyle w:val="Heading1"/>
        <w:pBdr>
          <w:bottom w:val="single" w:color="2E5F99" w:sz="8" w:space="4"/>
        </w:pBdr>
        <w:spacing w:before="320" w:after="160"/>
      </w:pPr>
      <w:r>
        <w:rPr>
          <w:rFonts w:ascii="Arial" w:cs="Arial" w:eastAsia="Arial" w:hAnsi="Arial"/>
          <w:b/>
          <w:bCs/>
          <w:color w:val="1F3864"/>
          <w:sz w:val="28"/>
          <w:szCs w:val="28"/>
        </w:rPr>
        <w:t xml:space="preserve">5. Measurement Methodology &amp; Review Cadence</w:t>
      </w:r>
    </w:p>
    <w:p>
      <w:pPr>
        <w:pStyle w:val="Heading2"/>
        <w:spacing w:before="240" w:after="100"/>
      </w:pPr>
      <w:r>
        <w:rPr>
          <w:rFonts w:ascii="Arial" w:cs="Arial" w:eastAsia="Arial" w:hAnsi="Arial"/>
          <w:b/>
          <w:bCs/>
          <w:color w:val="2E5F99"/>
          <w:sz w:val="22"/>
          <w:szCs w:val="22"/>
        </w:rPr>
        <w:t xml:space="preserve">5.1 How to Calculate the Metrics</w:t>
      </w:r>
    </w:p>
    <w:p>
      <w:pPr>
        <w:spacing w:before="60" w:after="60"/>
      </w:pPr>
      <w:r>
        <w:rPr>
          <w:rFonts w:ascii="Arial" w:cs="Arial" w:eastAsia="Arial" w:hAnsi="Arial"/>
          <w:sz w:val="18"/>
          <w:szCs w:val="18"/>
        </w:rPr>
        <w:t xml:space="preserve">The metrics in this document are designed to be calculated from data already available in the POS system and the Order Form. No additional software is needed for the accuracy KPIs during Phases 1 and 2.</w:t>
      </w:r>
    </w:p>
    <w:p>
      <w:pPr>
        <w:spacing w:before="80" w:after="0"/>
      </w:pPr>
      <w:r>
        <w:t xml:space="preserve"/>
      </w:r>
    </w:p>
    <w:p>
      <w:pPr>
        <w:pStyle w:val="ListParagraph"/>
        <w:numPr>
          <w:ilvl w:val="0"/>
          <w:numId w:val="2"/>
        </w:numPr>
        <w:spacing w:before="40" w:after="40"/>
      </w:pPr>
      <w:r>
        <w:rPr>
          <w:rFonts w:ascii="Arial" w:cs="Arial" w:eastAsia="Arial" w:hAnsi="Arial"/>
          <w:b/>
          <w:bCs/>
          <w:sz w:val="18"/>
          <w:szCs w:val="18"/>
        </w:rPr>
        <w:t xml:space="preserve">Forecasting KPIs — </w:t>
      </w:r>
      <w:r>
        <w:rPr>
          <w:rFonts w:ascii="Arial" w:cs="Arial" w:eastAsia="Arial" w:hAnsi="Arial"/>
          <w:sz w:val="18"/>
          <w:szCs w:val="18"/>
        </w:rPr>
        <w:t xml:space="preserve">MAPE, MAE, Bias, FVA: Calculate after each delivery period using the forecast qty from the ML Forecast tab vs the actual units consumed (from POS sales data). A simple spreadsheet formula is sufficient.</w:t>
      </w:r>
    </w:p>
    <w:p>
      <w:pPr>
        <w:pStyle w:val="ListParagraph"/>
        <w:numPr>
          <w:ilvl w:val="0"/>
          <w:numId w:val="2"/>
        </w:numPr>
        <w:spacing w:before="40" w:after="40"/>
      </w:pPr>
      <w:r>
        <w:rPr>
          <w:rFonts w:ascii="Arial" w:cs="Arial" w:eastAsia="Arial" w:hAnsi="Arial"/>
          <w:b/>
          <w:bCs/>
          <w:sz w:val="18"/>
          <w:szCs w:val="18"/>
        </w:rPr>
        <w:t xml:space="preserve">Waste Rate — </w:t>
      </w:r>
      <w:r>
        <w:rPr>
          <w:rFonts w:ascii="Arial" w:cs="Arial" w:eastAsia="Arial" w:hAnsi="Arial"/>
          <w:sz w:val="18"/>
          <w:szCs w:val="18"/>
        </w:rPr>
        <w:t xml:space="preserve">Waste Rate: Weigh and record any produce disposed of before each delivery. Log the disposal cost against the delivery cost for that batch. Update monthly.</w:t>
      </w:r>
    </w:p>
    <w:p>
      <w:pPr>
        <w:pStyle w:val="ListParagraph"/>
        <w:numPr>
          <w:ilvl w:val="0"/>
          <w:numId w:val="2"/>
        </w:numPr>
        <w:spacing w:before="40" w:after="40"/>
      </w:pPr>
      <w:r>
        <w:rPr>
          <w:rFonts w:ascii="Arial" w:cs="Arial" w:eastAsia="Arial" w:hAnsi="Arial"/>
          <w:b/>
          <w:bCs/>
          <w:sz w:val="18"/>
          <w:szCs w:val="18"/>
        </w:rPr>
        <w:t xml:space="preserve">Stockout Rate — </w:t>
      </w:r>
      <w:r>
        <w:rPr>
          <w:rFonts w:ascii="Arial" w:cs="Arial" w:eastAsia="Arial" w:hAnsi="Arial"/>
          <w:sz w:val="18"/>
          <w:szCs w:val="18"/>
        </w:rPr>
        <w:t xml:space="preserve">Stockout Rate: Create a simple daily log (one row per item per day). Mark 'Y' if the item was unavailable before the next delivery. Count and divide by total item-days in the period.</w:t>
      </w:r>
    </w:p>
    <w:p>
      <w:pPr>
        <w:pStyle w:val="ListParagraph"/>
        <w:numPr>
          <w:ilvl w:val="0"/>
          <w:numId w:val="2"/>
        </w:numPr>
        <w:spacing w:before="40" w:after="40"/>
      </w:pPr>
      <w:r>
        <w:rPr>
          <w:rFonts w:ascii="Arial" w:cs="Arial" w:eastAsia="Arial" w:hAnsi="Arial"/>
          <w:b/>
          <w:bCs/>
          <w:sz w:val="18"/>
          <w:szCs w:val="18"/>
        </w:rPr>
        <w:t xml:space="preserve">Order Accuracy — </w:t>
      </w:r>
      <w:r>
        <w:rPr>
          <w:rFonts w:ascii="Arial" w:cs="Arial" w:eastAsia="Arial" w:hAnsi="Arial"/>
          <w:sz w:val="18"/>
          <w:szCs w:val="18"/>
        </w:rPr>
        <w:t xml:space="preserve">Order Accuracy: For each delivery period, compare the order quantity placed vs the total units consumed during that period. Calculate the percentage error and flag any orders outside ±20%.</w:t>
      </w:r>
    </w:p>
    <w:p>
      <w:pPr>
        <w:pStyle w:val="ListParagraph"/>
        <w:numPr>
          <w:ilvl w:val="0"/>
          <w:numId w:val="2"/>
        </w:numPr>
        <w:spacing w:before="40" w:after="40"/>
      </w:pPr>
      <w:r>
        <w:rPr>
          <w:rFonts w:ascii="Arial" w:cs="Arial" w:eastAsia="Arial" w:hAnsi="Arial"/>
          <w:b/>
          <w:bCs/>
          <w:sz w:val="18"/>
          <w:szCs w:val="18"/>
        </w:rPr>
        <w:t xml:space="preserve">Ordering Time — </w:t>
      </w:r>
      <w:r>
        <w:rPr>
          <w:rFonts w:ascii="Arial" w:cs="Arial" w:eastAsia="Arial" w:hAnsi="Arial"/>
          <w:sz w:val="18"/>
          <w:szCs w:val="18"/>
        </w:rPr>
        <w:t xml:space="preserve">Staff Time: Use the Order Date timestamp in the Order Form (already in the template) alongside a completion timestamp. Log weekly.</w:t>
      </w:r>
    </w:p>
    <w:p>
      <w:pPr>
        <w:spacing w:before="120" w:after="0"/>
      </w:pPr>
      <w:r>
        <w:t xml:space="preserve"/>
      </w:r>
    </w:p>
    <w:p>
      <w:pPr>
        <w:pStyle w:val="Heading2"/>
        <w:spacing w:before="240" w:after="100"/>
      </w:pPr>
      <w:r>
        <w:rPr>
          <w:rFonts w:ascii="Arial" w:cs="Arial" w:eastAsia="Arial" w:hAnsi="Arial"/>
          <w:b/>
          <w:bCs/>
          <w:color w:val="2E5F99"/>
          <w:sz w:val="22"/>
          <w:szCs w:val="22"/>
        </w:rPr>
        <w:t xml:space="preserve">5.2 Review Cadence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Frequency</w:t>
            </w:r>
          </w:p>
        </w:tc>
        <w:tc>
          <w:tcPr>
            <w:tcW w:type="dxa" w:w="3513"/>
            <w:gridSpan w:val="1"/>
            <w:tcBorders>
              <w:top w:val="single" w:color="999999" w:sz="4"/>
              <w:left w:val="single" w:color="999999" w:sz="4"/>
              <w:bottom w:val="single" w:color="999999" w:sz="4"/>
              <w:right w:val="single" w:color="999999" w:sz="4"/>
            </w:tcBorders>
            <w:shd w:fill="2E5F9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to Review</w:t>
            </w:r>
          </w:p>
        </w:tc>
        <w:tc>
          <w:tcPr>
            <w:tcW w:type="dxa" w:w="3513"/>
            <w:gridSpan w:val="1"/>
            <w:tcBorders>
              <w:top w:val="single" w:color="999999" w:sz="4"/>
              <w:left w:val="single" w:color="999999" w:sz="4"/>
              <w:bottom w:val="single" w:color="999999" w:sz="4"/>
              <w:right w:val="single" w:color="999999" w:sz="4"/>
            </w:tcBorders>
            <w:shd w:fill="55555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Who</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Every Order
Cycle</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MAPE and MAE per item. Flag any item with error &gt; 2× target. Check FVA vs naive.</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Store manager or department head.</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Monthly</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Waste rate, stockout log, ordering time. Compare to prior month and baseline.</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Store manager. Share with ownership/stakeholders.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Quarterly</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GP impact vs prior year same period. Full KPI scorecard against phase targets. Bias check across full catalogue.</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Owner + data analyst review. Decision point: advance phase, hold, or course-correct.</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000000"/>
                <w:sz w:val="17"/>
                <w:szCs w:val="17"/>
              </w:rPr>
              <w:t xml:space="preserve">Annually</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Full model retraining with expanded data. Reassess feature set (add/remove weather, holidays). Evaluate Phase 4 readiness.</w:t>
            </w:r>
          </w:p>
        </w:tc>
        <w:tc>
          <w:tcPr>
            <w:tcW w:type="dxa" w:w="35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Data analyst. Full project review.</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99" w:sz="8"/>
              <w:left w:val="thick" w:color="2E5F99" w:sz="16"/>
              <w:bottom w:val="single" w:color="2E5F99" w:sz="8"/>
              <w:right w:val="none" w:color="2E5F99" w:sz="0"/>
            </w:tcBorders>
            <w:shd w:fill="D5E8F0" w:val="clear"/>
            <w:tcMar>
              <w:top w:type="dxa" w:w="120"/>
              <w:left w:type="dxa" w:w="200"/>
              <w:bottom w:type="dxa" w:w="120"/>
              <w:right w:type="dxa" w:w="120"/>
            </w:tcMar>
          </w:tcPr>
          <w:p>
            <w:pPr>
              <w:spacing w:before="0" w:after="0"/>
            </w:pPr>
            <w:r>
              <w:rPr>
                <w:rFonts w:ascii="Arial" w:cs="Arial" w:eastAsia="Arial" w:hAnsi="Arial"/>
                <w:i/>
                <w:iCs/>
                <w:sz w:val="17"/>
                <w:szCs w:val="17"/>
              </w:rPr>
              <w:t xml:space="preserve">Retraining schedule: The Prophet model should be retrained at minimum once per quarter during Phase 3, and monthly once 24+ months of data are available. Stale models are a leading cause of accuracy degradation in deployed retail forecasting systems (Fildes et al., 2022).</w:t>
            </w:r>
          </w:p>
        </w:tc>
      </w:tr>
    </w:tbl>
    <w:p>
      <w:r>
        <w:br w:type="page"/>
      </w:r>
    </w:p>
    <w:p>
      <w:pPr>
        <w:pStyle w:val="Heading1"/>
        <w:pBdr>
          <w:bottom w:val="single" w:color="2E5F99" w:sz="8" w:space="4"/>
        </w:pBdr>
        <w:spacing w:before="320" w:after="160"/>
      </w:pPr>
      <w:r>
        <w:rPr>
          <w:rFonts w:ascii="Arial" w:cs="Arial" w:eastAsia="Arial" w:hAnsi="Arial"/>
          <w:b/>
          <w:bCs/>
          <w:color w:val="1F3864"/>
          <w:sz w:val="28"/>
          <w:szCs w:val="28"/>
        </w:rPr>
        <w:t xml:space="preserve">6. Benchmark Sources &amp; References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5013"/>
            <w:gridSpan w:val="1"/>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Relevance to this document</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ECR Europe (2016). Demand Driven Supply Chain Study.</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MAPE benchmarks (15–25%) for fresh produce in European retail. FVA methodology.</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Fildes, R. et al. (2022). 'Retail Forecasting: Research and Practice'. International Journal of Forecasting.</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FVA benchmarks, model retraining cadence, naive baseline methodology.</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Fildes, R. et al. (2008). 'Forecasting and Operational Research'. Journal of the Operational Research Society.</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Forecast accuracy benchmarks for retail demand. ±20% hit rate standards.</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Food Marketing Institute (FMI, 2022). Supermarket Facts.</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Fresh produce GP margins, stockout rate benchmarks. US-based; used directionally.</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FIAL — Food Innovation Australia Ltd (2023). Fresh Produce Supply Chain Report.</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Australian fresh produce waste rates (8–12% of received value). Stockout rates.</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GS1 Australia (2019). Fresh Produce Traceability &amp; Availability in Australian Retail.</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Stockout rate benchmark (3–8%) for fresh produce in independent retailers.</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FAO (2019). The State of Food and Agriculture — Food Loss and Waste Reduction.</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Global context: ~35% of fresh produce lost/wasted at retail level globally.</w:t>
            </w:r>
          </w:p>
        </w:tc>
      </w:tr>
      <w:tr>
        <w:tc>
          <w:tcPr>
            <w:tcW w:type="dxa" w:w="40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7"/>
                <w:szCs w:val="17"/>
              </w:rPr>
              <w:t xml:space="preserve">Syntetos, A.A. &amp; Boylan, J.E. (2001). 'On the Bias of Intermittent Demand Estimates'. International Journal of Production Economics.</w:t>
            </w:r>
          </w:p>
        </w:tc>
        <w:tc>
          <w:tcPr>
            <w:tcW w:type="dxa" w:w="50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17"/>
                <w:szCs w:val="17"/>
              </w:rPr>
              <w:t xml:space="preserve">Theoretical basis for Croston's method and intermittent demand handling.</w:t>
            </w:r>
          </w:p>
        </w:tc>
      </w:tr>
    </w:tbl>
    <w:p>
      <w:pPr>
        <w:spacing w:before="160" w:after="0"/>
      </w:pPr>
      <w:r>
        <w:t xml:space="preserve"/>
      </w:r>
    </w:p>
    <w:p>
      <w:pPr>
        <w:spacing w:before="80" w:after="0"/>
      </w:pPr>
      <w:r>
        <w:rPr>
          <w:rFonts w:ascii="Arial" w:cs="Arial" w:eastAsia="Arial" w:hAnsi="Arial"/>
          <w:sz w:val="18"/>
          <w:szCs w:val="18"/>
        </w:rPr>
        <w:t xml:space="preserve">Note: Where Australian-specific benchmarks were not available, international benchmarks (primarily ECR Europe and FMI) were used directionally with appropriate caveats. All financial estimates in Section 2.1 are illustrative based on the EDA findings and should be validated against actual store data once baseline measurements are established.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9" w:sz="6" w:space="4"/>
      </w:pBdr>
      <w:tabs>
        <w:tab w:val="right" w:pos="9026"/>
      </w:tabs>
      <w:spacing w:before="0" w:after="120"/>
    </w:pPr>
    <w:r>
      <w:rPr>
        <w:rFonts w:ascii="Arial" w:cs="Arial" w:eastAsia="Arial" w:hAnsi="Arial"/>
        <w:color w:val="555555"/>
        <w:sz w:val="16"/>
        <w:szCs w:val="16"/>
      </w:rPr>
      <w:t xml:space="preserve">Foodland Wudinna — Demand Forecasting Project</w:t>
    </w:r>
    <w:r>
      <w:rPr>
        <w:sz w:val="16"/>
        <w:szCs w:val="16"/>
      </w:rPr>
      <w:t xml:space="preserve">	</w:t>
    </w:r>
    <w:r>
      <w:rPr>
        <w:rFonts w:ascii="Arial" w:cs="Arial" w:eastAsia="Arial" w:hAnsi="Arial"/>
        <w:b/>
        <w:bCs/>
        <w:color w:val="2E5F99"/>
        <w:sz w:val="16"/>
        <w:szCs w:val="16"/>
      </w:rPr>
      <w:t xml:space="preserve">KPI Framework &amp; Success Criteria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5F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2026-03-22T04:32:19.072Z</dcterms:created>
  <dcterms:modified xsi:type="dcterms:W3CDTF">2026-03-22T04:32:19.072Z</dcterms:modified>
</cp:coreProperties>
</file>

<file path=docProps/custom.xml><?xml version="1.0" encoding="utf-8"?>
<Properties xmlns="http://schemas.openxmlformats.org/officeDocument/2006/custom-properties" xmlns:vt="http://schemas.openxmlformats.org/officeDocument/2006/docPropsVTypes"/>
</file>