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1B4F72" w:sz="8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Fruit &amp; Vegetable Department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EDA Overview — Simplified Executive Brief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Foodland Wudinna, SA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Analysis Period: January – March 19 (2025 vs 2026)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Prepared: 23 March 2026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This document summarises the full Exploratory Data Analysis into a simple, topic-based overview with key findings, analysis, and conclusions.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color w:val="1B4F72"/>
        </w:rPr>
        <w:t xml:space="preserve">At a Glance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full EDA covers 12 sections and 61 analysis cells. Below are the numbers that matter most.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22B21" w:sz="12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32"/>
                <w:szCs w:val="32"/>
              </w:rPr>
              <w:t xml:space="preserve">-6.4%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Revenue per Day YoY</w:t>
            </w:r>
          </w:p>
        </w:tc>
        <w:tc>
          <w:tcPr>
            <w:tcW w:type="dxa" w:w="2340"/>
            <w:tcBorders>
              <w:top w:val="single" w:color="1A7A44" w:sz="12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32"/>
                <w:szCs w:val="32"/>
              </w:rPr>
              <w:t xml:space="preserve">37.8%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GP Margin (stable)</w:t>
            </w:r>
          </w:p>
        </w:tc>
        <w:tc>
          <w:tcPr>
            <w:tcW w:type="dxa" w:w="2340"/>
            <w:tcBorders>
              <w:top w:val="single" w:color="922B21" w:sz="12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32"/>
                <w:szCs w:val="32"/>
              </w:rPr>
              <w:t xml:space="preserve">+51.3%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Avoidable Loss Growth</w:t>
            </w:r>
          </w:p>
        </w:tc>
        <w:tc>
          <w:tcPr>
            <w:tcW w:type="dxa" w:w="2340"/>
            <w:tcBorders>
              <w:top w:val="single" w:color="CA6F1E" w:sz="12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32"/>
                <w:szCs w:val="32"/>
              </w:rPr>
              <w:t xml:space="preserve">$3,243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Projected Annual Loss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22B21" w:sz="12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32"/>
                <w:szCs w:val="32"/>
              </w:rPr>
              <w:t xml:space="preserve">+505%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REDUCED FV Scans Growth</w:t>
            </w:r>
          </w:p>
        </w:tc>
        <w:tc>
          <w:tcPr>
            <w:tcW w:type="dxa" w:w="2340"/>
            <w:tcBorders>
              <w:top w:val="single" w:color="1A7A44" w:sz="12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32"/>
                <w:szCs w:val="32"/>
              </w:rPr>
              <w:t xml:space="preserve">-21.2%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Specials Cost (improving)</w:t>
            </w:r>
          </w:p>
        </w:tc>
        <w:tc>
          <w:tcPr>
            <w:tcW w:type="dxa" w:w="2340"/>
            <w:tcBorders>
              <w:top w:val="single" w:color="1A7A44" w:sz="12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32"/>
                <w:szCs w:val="32"/>
              </w:rPr>
              <w:t xml:space="preserve">$2,410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Potential Labour Savings/yr</w:t>
            </w:r>
          </w:p>
        </w:tc>
        <w:tc>
          <w:tcPr>
            <w:tcW w:type="dxa" w:w="2340"/>
            <w:tcBorders>
              <w:top w:val="single" w:color="1A7A44" w:sz="12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32"/>
                <w:szCs w:val="32"/>
              </w:rPr>
              <w:t xml:space="preserve">$3,557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Total Benefit if Actioned</w:t>
            </w:r>
          </w:p>
        </w:tc>
      </w:tr>
    </w:tbl>
    <w:p>
      <w:pPr>
        <w:pBdr>
          <w:bottom w:val="single" w:color="2E86C1" w:sz="4" w:space="4"/>
        </w:pBdr>
        <w:spacing w:before="120" w:after="120"/>
      </w:pPr>
    </w:p>
    <w:p>
      <w:pPr>
        <w:pStyle w:val="Heading1"/>
      </w:pPr>
      <w:r>
        <w:rPr>
          <w:color w:val="1B4F72"/>
        </w:rPr>
        <w:t xml:space="preserve">Topic 1: Department Health</w:t>
      </w:r>
    </w:p>
    <w:p>
      <w:pPr>
        <w:pStyle w:val="Heading2"/>
      </w:pPr>
      <w:r>
        <w:rPr>
          <w:color w:val="1B4F72"/>
        </w:rPr>
        <w:t xml:space="preserve">What we found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per trading day dropped 6.4% compared to the same period in 2025. However, the gross profit margin actually improved slightly, from 37.3% to 37.8%. This means the store is not losing money on the items it sells — it is simply selling fewer units.</w:t>
      </w:r>
    </w:p>
    <w:p>
      <w:pPr>
        <w:pStyle w:val="Heading2"/>
      </w:pPr>
      <w:r>
        <w:rPr>
          <w:color w:val="1B4F72"/>
        </w:rPr>
        <w:t xml:space="preserve">What it means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pricing model is healthy. The problem is volume loss, not margin erosion. Vegetables remain the largest revenue category. All sub-departments are down slightly but none show alarming declines.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B4F72" w:sz="18"/>
              <w:bottom w:val="single" w:color="D5D8DC" w:sz="1"/>
              <w:right w:val="single" w:color="D5D8DC" w:sz="1"/>
            </w:tcBorders>
            <w:shd w:fill="F2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Conclusion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department’s core pricing is sound. Focus should be on recovering volume (through better stock availability and competitive pricing on key items) rather than increasing margins.</w:t>
            </w:r>
          </w:p>
        </w:tc>
      </w:tr>
    </w:tbl>
    <w:p>
      <w:pPr>
        <w:spacing w:after="120"/>
      </w:pPr>
    </w:p>
    <w:p>
      <w:pPr>
        <w:pBdr>
          <w:bottom w:val="single" w:color="2E86C1" w:sz="4" w:space="4"/>
        </w:pBdr>
        <w:spacing w:before="120" w:after="120"/>
      </w:pPr>
    </w:p>
    <w:p>
      <w:pPr>
        <w:pStyle w:val="Heading1"/>
      </w:pPr>
      <w:r>
        <w:rPr>
          <w:color w:val="1B4F72"/>
        </w:rPr>
        <w:t xml:space="preserve">Topic 2: Waste &amp; Markdowns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critical finding in the entire analysis.</w:t>
      </w:r>
    </w:p>
    <w:p>
      <w:pPr>
        <w:pStyle w:val="Heading2"/>
      </w:pPr>
      <w:r>
        <w:rPr>
          <w:color w:val="1B4F72"/>
        </w:rPr>
        <w:t xml:space="preserve">REDUCED Fruit &amp; Veg (waste scanning)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2025: </w:t>
      </w:r>
      <w:r>
        <w:rPr>
          <w:rFonts w:ascii="Arial" w:cs="Arial" w:eastAsia="Arial" w:hAnsi="Arial"/>
          <w:sz w:val="22"/>
          <w:szCs w:val="22"/>
        </w:rPr>
        <w:t xml:space="preserve">1.36 REDUCED scans per day, costing $1.09/day in lost GP.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2026: </w:t>
      </w:r>
      <w:r>
        <w:rPr>
          <w:rFonts w:ascii="Arial" w:cs="Arial" w:eastAsia="Arial" w:hAnsi="Arial"/>
          <w:sz w:val="22"/>
          <w:szCs w:val="22"/>
        </w:rPr>
        <w:t xml:space="preserve">8.24 REDUCED scans per day, costing $5.12/day in lost GP.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Growth: </w:t>
      </w:r>
      <w:r>
        <w:rPr>
          <w:rFonts w:ascii="Arial" w:cs="Arial" w:eastAsia="Arial" w:hAnsi="Arial"/>
          <w:sz w:val="22"/>
          <w:szCs w:val="22"/>
        </w:rPr>
        <w:t xml:space="preserve">+505% in scan volume, +370% in GP loss.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single biggest driver of the department’s overall loss growth. The March 2026 rate reached 9.44 lines/day, suggesting the trend is accelerating.</w:t>
      </w:r>
    </w:p>
    <w:p>
      <w:pPr>
        <w:pStyle w:val="Heading2"/>
      </w:pPr>
      <w:r>
        <w:rPr>
          <w:color w:val="1B4F72"/>
        </w:rPr>
        <w:t xml:space="preserve">Barcoded markdowns (pre-packed items)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2025: </w:t>
      </w:r>
      <w:r>
        <w:rPr>
          <w:rFonts w:ascii="Arial" w:cs="Arial" w:eastAsia="Arial" w:hAnsi="Arial"/>
          <w:sz w:val="22"/>
          <w:szCs w:val="22"/>
        </w:rPr>
        <w:t xml:space="preserve">$9.29/day in true markdown losses.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2026: </w:t>
      </w:r>
      <w:r>
        <w:rPr>
          <w:rFonts w:ascii="Arial" w:cs="Arial" w:eastAsia="Arial" w:hAnsi="Arial"/>
          <w:sz w:val="22"/>
          <w:szCs w:val="22"/>
        </w:rPr>
        <w:t xml:space="preserve">$10.27/day — a +10.6% increase.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items where staff apply a markdown sticker and re-scan at a reduced price. After separating out Wednesday Specials (which are planned promotions), the true unplanned markdowns grew modestly.</w:t>
      </w:r>
    </w:p>
    <w:p>
      <w:pPr>
        <w:pStyle w:val="Heading2"/>
      </w:pPr>
      <w:r>
        <w:rPr>
          <w:color w:val="1B4F72"/>
        </w:rPr>
        <w:t xml:space="preserve">Wednesday Specials (planned promotions)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Good news: the cost of planned promotional pricing fell 21.2% year-on-year ($15.30 to $12.05/day). The store is running smarter, more targeted specials. No action needed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922B21" w:sz="18"/>
              <w:bottom w:val="single" w:color="D5D8DC" w:sz="1"/>
              <w:right w:val="single" w:color="D5D8DC" w:sz="1"/>
            </w:tcBorders>
            <w:shd w:fill="F2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Conclusion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Waste (REDUCED FV) is the most urgent problem. It grew from $1.09 to $5.12 per day — a nearly 4x increase. This is caused by over-ordering or insufficient stock rotation, not by market conditions. Barcoded markdowns are a secondary concern. Specials are well-managed.</w:t>
            </w:r>
          </w:p>
        </w:tc>
      </w:tr>
    </w:tbl>
    <w:p>
      <w:pPr>
        <w:spacing w:after="120"/>
      </w:pPr>
    </w:p>
    <w:p>
      <w:pPr>
        <w:pBdr>
          <w:bottom w:val="single" w:color="2E86C1" w:sz="4" w:space="4"/>
        </w:pBdr>
        <w:spacing w:before="120" w:after="120"/>
      </w:pPr>
    </w:p>
    <w:p>
      <w:pPr>
        <w:pStyle w:val="Heading1"/>
      </w:pPr>
      <w:r>
        <w:rPr>
          <w:color w:val="1B4F72"/>
        </w:rPr>
        <w:t xml:space="preserve">Topic 3: Pricing &amp; Margin Traps</w:t>
      </w:r>
    </w:p>
    <w:p>
      <w:pPr>
        <w:pStyle w:val="Heading2"/>
      </w:pPr>
      <w:r>
        <w:rPr>
          <w:color w:val="1B4F72"/>
        </w:rPr>
        <w:t xml:space="preserve">Price elasticity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prices go up on core items, customers buy less. The data shows a clear negative relationship between price increases and volume for the top 20 items. This is expected in a price-sensitive rural market like Wudinna.</w:t>
      </w:r>
    </w:p>
    <w:p>
      <w:pPr>
        <w:pStyle w:val="Heading2"/>
      </w:pPr>
      <w:r>
        <w:rPr>
          <w:color w:val="1B4F72"/>
        </w:rPr>
        <w:t xml:space="preserve">Margin Trap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 items had price increases in 2026 that backfired: the higher price pushed customers away, and the resulting volume drop meant the store earned fewer GP dollars overall — even though the per-unit margin was higher.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Green Grapes: </w:t>
      </w:r>
      <w:r>
        <w:rPr>
          <w:rFonts w:ascii="Arial" w:cs="Arial" w:eastAsia="Arial" w:hAnsi="Arial"/>
          <w:sz w:val="22"/>
          <w:szCs w:val="22"/>
        </w:rPr>
        <w:t xml:space="preserve">Biggest GP dollar loss from this effect.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Baby Lebanese Cucumbers: </w:t>
      </w:r>
      <w:r>
        <w:rPr>
          <w:rFonts w:ascii="Arial" w:cs="Arial" w:eastAsia="Arial" w:hAnsi="Arial"/>
          <w:sz w:val="22"/>
          <w:szCs w:val="22"/>
        </w:rPr>
        <w:t xml:space="preserve">Second highest impact.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A6F1E" w:sz="18"/>
              <w:bottom w:val="single" w:color="D5D8DC" w:sz="1"/>
              <w:right w:val="single" w:color="D5D8DC" w:sz="1"/>
            </w:tcBorders>
            <w:shd w:fill="F2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Conclusion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Targeted price rollbacks on 3–5 Margin Trap items could recover lost GP. The goal is volume recovery, not margin-per-unit maximisation. Trial a 4-week rollback and measure the response.</w:t>
            </w:r>
          </w:p>
        </w:tc>
      </w:tr>
    </w:tbl>
    <w:p>
      <w:pPr>
        <w:spacing w:after="120"/>
      </w:pPr>
    </w:p>
    <w:p>
      <w:pPr>
        <w:pBdr>
          <w:bottom w:val="single" w:color="2E86C1" w:sz="4" w:space="4"/>
        </w:pBdr>
        <w:spacing w:before="120" w:after="120"/>
      </w:pPr>
    </w:p>
    <w:p>
      <w:pPr>
        <w:pStyle w:val="Heading1"/>
      </w:pPr>
      <w:r>
        <w:rPr>
          <w:color w:val="1B4F72"/>
        </w:rPr>
        <w:t xml:space="preserve">Topic 4: Portfolio &amp; Store Operations</w:t>
      </w:r>
    </w:p>
    <w:p>
      <w:pPr>
        <w:pStyle w:val="Heading2"/>
      </w:pPr>
      <w:r>
        <w:rPr>
          <w:color w:val="1B4F72"/>
        </w:rPr>
        <w:t xml:space="preserve">ABC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Items are classified into three tiers based on revenue contribution: A (top 80%), B (next 15%), C (bottom 5%). By comparing 2025 vs 2026 tiers, we identify: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Rising Stars: </w:t>
      </w:r>
      <w:r>
        <w:rPr>
          <w:rFonts w:ascii="Arial" w:cs="Arial" w:eastAsia="Arial" w:hAnsi="Arial"/>
          <w:sz w:val="22"/>
          <w:szCs w:val="22"/>
        </w:rPr>
        <w:t xml:space="preserve">Items that moved up to A-class in 2026 — these deserve more shelf space and higher order quantities.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Fallen Stars: </w:t>
      </w:r>
      <w:r>
        <w:rPr>
          <w:rFonts w:ascii="Arial" w:cs="Arial" w:eastAsia="Arial" w:hAnsi="Arial"/>
          <w:sz w:val="22"/>
          <w:szCs w:val="22"/>
        </w:rPr>
        <w:t xml:space="preserve">Items that dropped from A-class — consider reducing their shelf space.</w:t>
      </w:r>
    </w:p>
    <w:p>
      <w:pPr>
        <w:pStyle w:val="Heading2"/>
      </w:pPr>
      <w:r>
        <w:rPr>
          <w:color w:val="1B4F72"/>
        </w:rPr>
        <w:t xml:space="preserve">Basket Builders vs. Profit Drivers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Different items serve different roles. Staples like Bananas, Carrots, and Cucumbers drive foot traffic (Basket Builders). Higher-margin items like pre-packed salads generate the bulk of GP (Profit Drivers). Each group needs its own pricing strategy.</w:t>
      </w:r>
    </w:p>
    <w:p>
      <w:pPr>
        <w:pStyle w:val="Heading2"/>
      </w:pPr>
      <w:r>
        <w:rPr>
          <w:color w:val="1B4F72"/>
        </w:rPr>
        <w:t xml:space="preserve">Day-of-week rhythm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store has a consistent weekly shopping pattern. This rhythm is stable year-on-year, which means ordering schedules and staffing can be reliably planned around it. Friday and Tuesday deliveries align well with demand peaks.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B4F72" w:sz="18"/>
              <w:bottom w:val="single" w:color="D5D8DC" w:sz="1"/>
              <w:right w:val="single" w:color="D5D8DC" w:sz="1"/>
            </w:tcBorders>
            <w:shd w:fill="F2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Conclusion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product portfolio has shifted slightly — some items gained importance, others declined. Ordering quantities should be reviewed against the updated ABC classification. The weekly rhythm is stable and reliable for scheduling.</w:t>
            </w:r>
          </w:p>
        </w:tc>
      </w:tr>
    </w:tbl>
    <w:p>
      <w:pPr>
        <w:spacing w:after="120"/>
      </w:pPr>
    </w:p>
    <w:p>
      <w:pPr>
        <w:pBdr>
          <w:bottom w:val="single" w:color="2E86C1" w:sz="4" w:space="4"/>
        </w:pBdr>
        <w:spacing w:before="120" w:after="120"/>
      </w:pPr>
    </w:p>
    <w:p>
      <w:pPr>
        <w:pStyle w:val="Heading1"/>
      </w:pPr>
      <w:r>
        <w:rPr>
          <w:color w:val="1B4F72"/>
        </w:rPr>
        <w:t xml:space="preserve">Topic 5: Weather Impact</w:t>
      </w:r>
    </w:p>
    <w:p>
      <w:pPr>
        <w:pStyle w:val="Heading2"/>
      </w:pPr>
      <w:r>
        <w:rPr>
          <w:color w:val="1B4F72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Temperature: </w:t>
      </w:r>
      <w:r>
        <w:rPr>
          <w:rFonts w:ascii="Arial" w:cs="Arial" w:eastAsia="Arial" w:hAnsi="Arial"/>
          <w:sz w:val="22"/>
          <w:szCs w:val="22"/>
        </w:rPr>
        <w:t xml:space="preserve">Hot days (&gt;30°C) show lower average revenue. Extreme heat reduces foot traffic in this rural town where customers drive to shop.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Rainfall: </w:t>
      </w:r>
      <w:r>
        <w:rPr>
          <w:rFonts w:ascii="Arial" w:cs="Arial" w:eastAsia="Arial" w:hAnsi="Arial"/>
          <w:sz w:val="22"/>
          <w:szCs w:val="22"/>
        </w:rPr>
        <w:t xml:space="preserve">Rain days show lower sales compared to dry days, consistent with the rural driving hypothesis.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 sensitivity: </w:t>
      </w:r>
      <w:r>
        <w:rPr>
          <w:rFonts w:ascii="Arial" w:cs="Arial" w:eastAsia="Arial" w:hAnsi="Arial"/>
          <w:sz w:val="22"/>
          <w:szCs w:val="22"/>
        </w:rPr>
        <w:t xml:space="preserve">Staples (Vegetables, Potatoes) are weather-resistant. Discretionary items (Berries, Herbs) show stronger weather effects.</w:t>
      </w:r>
    </w:p>
    <w:p>
      <w:pPr>
        <w:pStyle w:val="Heading2"/>
      </w:pPr>
      <w:r>
        <w:rPr>
          <w:color w:val="1B4F72"/>
        </w:rPr>
        <w:t xml:space="preserve">Practical 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Temperature adds marginal forecasting signal on top of day-of-week patterns. It is not a primary driver but can improve ordering accuracy for weather-sensitive categories on days with extreme heat forecasts.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B4F72" w:sz="18"/>
              <w:bottom w:val="single" w:color="D5D8DC" w:sz="1"/>
              <w:right w:val="single" w:color="D5D8DC" w:sz="1"/>
            </w:tcBorders>
            <w:shd w:fill="F2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Conclusion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Weather has a measurable but modest effect on sales. Day-of-week is the primary demand driver. Consider reducing orders for discretionary items when extreme heat (&gt;35°C) or rain is forecast.</w:t>
            </w:r>
          </w:p>
        </w:tc>
      </w:tr>
    </w:tbl>
    <w:p>
      <w:pPr>
        <w:spacing w:after="120"/>
      </w:pPr>
    </w:p>
    <w:p>
      <w:pPr>
        <w:pBdr>
          <w:bottom w:val="single" w:color="2E86C1" w:sz="4" w:space="4"/>
        </w:pBdr>
        <w:spacing w:before="120" w:after="120"/>
      </w:pPr>
    </w:p>
    <w:p>
      <w:pPr>
        <w:pStyle w:val="Heading1"/>
      </w:pPr>
      <w:r>
        <w:rPr>
          <w:color w:val="1B4F72"/>
        </w:rPr>
        <w:t xml:space="preserve">Topic 6: Data Quality Issues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building any forecasting model, six data quality issues were investigated: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Open-ring scanning: </w:t>
      </w:r>
      <w:r>
        <w:rPr>
          <w:rFonts w:ascii="Arial" w:cs="Arial" w:eastAsia="Arial" w:hAnsi="Arial"/>
          <w:sz w:val="22"/>
          <w:szCs w:val="22"/>
        </w:rPr>
        <w:t xml:space="preserve">2.1 lines/day have no product code. These cannot be attributed to specific items, which hides true category demand and degrades forecast accuracy.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Negative GP entries: </w:t>
      </w:r>
      <w:r>
        <w:rPr>
          <w:rFonts w:ascii="Arial" w:cs="Arial" w:eastAsia="Arial" w:hAnsi="Arial"/>
          <w:sz w:val="22"/>
          <w:szCs w:val="22"/>
        </w:rPr>
        <w:t xml:space="preserve">Some items (mainly salad kits, mushrooms) are sold below cost. This may be distressed stock, incorrect cost entries, or promotional prices without matching cost updates.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 variant fragmentation: </w:t>
      </w:r>
      <w:r>
        <w:rPr>
          <w:rFonts w:ascii="Arial" w:cs="Arial" w:eastAsia="Arial" w:hAnsi="Arial"/>
          <w:sz w:val="22"/>
          <w:szCs w:val="22"/>
        </w:rPr>
        <w:t xml:space="preserve">Some products appear under 12+ separate PLU codes (e.g., Tomatoes). A forecast model sees 12 noisy low-volume series instead of one clean signal. These need consolidation.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Small-volume items: </w:t>
      </w:r>
      <w:r>
        <w:rPr>
          <w:rFonts w:ascii="Arial" w:cs="Arial" w:eastAsia="Arial" w:hAnsi="Arial"/>
          <w:sz w:val="22"/>
          <w:szCs w:val="22"/>
        </w:rPr>
        <w:t xml:space="preserve">Chillies, Ginger, and Garlic sell &lt;0.2 kg per scan. Forecasting in kilograms is unreliable — transaction lines are the more stable signal.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 holidays: </w:t>
      </w:r>
      <w:r>
        <w:rPr>
          <w:rFonts w:ascii="Arial" w:cs="Arial" w:eastAsia="Arial" w:hAnsi="Arial"/>
          <w:sz w:val="22"/>
          <w:szCs w:val="22"/>
        </w:rPr>
        <w:t xml:space="preserve">Six dates are confirmed store closures, not zero-demand days. These must be flagged in any model to avoid distorting baseline estimates.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Wednesday Specials structure: </w:t>
      </w:r>
      <w:r>
        <w:rPr>
          <w:rFonts w:ascii="Arial" w:cs="Arial" w:eastAsia="Arial" w:hAnsi="Arial"/>
          <w:sz w:val="22"/>
          <w:szCs w:val="22"/>
        </w:rPr>
        <w:t xml:space="preserve">58.7% of flagged low-GP events are planned promotions, not waste. Correctly separating these is essential for accurate loss measurement.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B4F72" w:sz="18"/>
              <w:bottom w:val="single" w:color="D5D8DC" w:sz="1"/>
              <w:right w:val="single" w:color="D5D8DC" w:sz="1"/>
            </w:tcBorders>
            <w:shd w:fill="F2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Conclusion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data is usable but has known issues. The highest priority fixes are: eliminate open-ring scanning (assign PLUs to all items) and consolidate fragmented PLU groups before model training.</w:t>
            </w:r>
          </w:p>
        </w:tc>
      </w:tr>
    </w:tbl>
    <w:p>
      <w:pPr>
        <w:spacing w:after="120"/>
      </w:pPr>
    </w:p>
    <w:p>
      <w:pPr>
        <w:pBdr>
          <w:bottom w:val="single" w:color="2E86C1" w:sz="4" w:space="4"/>
        </w:pBdr>
        <w:spacing w:before="120" w:after="120"/>
      </w:pPr>
    </w:p>
    <w:p>
      <w:pPr>
        <w:pStyle w:val="Heading1"/>
      </w:pPr>
      <w:r>
        <w:rPr>
          <w:color w:val="1B4F72"/>
        </w:rPr>
        <w:t xml:space="preserve">Topic 7: Forecasting Readiness</w:t>
      </w:r>
    </w:p>
    <w:p>
      <w:pPr>
        <w:pStyle w:val="Heading2"/>
      </w:pPr>
      <w:r>
        <w:rPr>
          <w:color w:val="1B4F72"/>
        </w:rPr>
        <w:t xml:space="preserve">Can we forecast demand?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Yes. Three validation tests were run: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Baseline comparison: </w:t>
      </w:r>
      <w:r>
        <w:rPr>
          <w:rFonts w:ascii="Arial" w:cs="Arial" w:eastAsia="Arial" w:hAnsi="Arial"/>
          <w:sz w:val="22"/>
          <w:szCs w:val="22"/>
        </w:rPr>
        <w:t xml:space="preserve">A 4-week same-weekday moving average outperforms the naive same-week-prior benchmark for most items. Data-driven ordering adds value.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Temperature signal: </w:t>
      </w:r>
      <w:r>
        <w:rPr>
          <w:rFonts w:ascii="Arial" w:cs="Arial" w:eastAsia="Arial" w:hAnsi="Arial"/>
          <w:sz w:val="22"/>
          <w:szCs w:val="22"/>
        </w:rPr>
        <w:t xml:space="preserve">Partial correlation confirms temperature adds some signal beyond day-of-week for certain items, but the effect is modest.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Seasonal decomposition: </w:t>
      </w:r>
      <w:r>
        <w:rPr>
          <w:rFonts w:ascii="Arial" w:cs="Arial" w:eastAsia="Arial" w:hAnsi="Arial"/>
          <w:sz w:val="22"/>
          <w:szCs w:val="22"/>
        </w:rPr>
        <w:t xml:space="preserve">Most top-10 items have learnable weekly demand patterns with positive signal-to-noise ratios.</w:t>
      </w:r>
    </w:p>
    <w:p>
      <w:pPr>
        <w:pStyle w:val="Heading2"/>
      </w:pPr>
      <w:r>
        <w:rPr>
          <w:color w:val="1B4F72"/>
        </w:rPr>
        <w:t xml:space="preserve">Limitation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dataset covers only January to mid-March (~78 trading days per year). All results reflect within-season performance only. A full-year model will need 12 months of continuous data to capture winter vs. summer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B4F72" w:sz="18"/>
              <w:bottom w:val="single" w:color="D5D8DC" w:sz="1"/>
              <w:right w:val="single" w:color="D5D8DC" w:sz="1"/>
            </w:tcBorders>
            <w:shd w:fill="F2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Conclusion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data supports demand forecasting. A Prophet model with weekly seasonality, holiday flags, and Wednesday Special regressors is the recommended next step. Start with the top 10 items by revenue.</w:t>
            </w:r>
          </w:p>
        </w:tc>
      </w:tr>
    </w:tbl>
    <w:p>
      <w:pPr>
        <w:spacing w:after="120"/>
      </w:pPr>
    </w:p>
    <w:p>
      <w:pPr>
        <w:pBdr>
          <w:bottom w:val="single" w:color="2E86C1" w:sz="4" w:space="4"/>
        </w:pBdr>
        <w:spacing w:before="120" w:after="120"/>
      </w:pPr>
    </w:p>
    <w:p>
      <w:pPr>
        <w:pStyle w:val="Heading1"/>
      </w:pPr>
      <w:r>
        <w:rPr>
          <w:color w:val="1B4F72"/>
        </w:rPr>
        <w:t xml:space="preserve">Financial Impact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loss categories combined (REDUCED FV, barcoded markdowns, negative GP) grew from $10.50/day to $15.89/day — a +51.3% increase year-on-year.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1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2025 $/day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2026 $/day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REDUCED FV (waste)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$5.12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+370%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Barcoded markdowns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$9.29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$10.27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+10.6%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 GP 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$0.49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+308%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$10.50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$15.89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+51.3%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Full-year central projection (2026): </w:t>
      </w:r>
      <w:r>
        <w:rPr>
          <w:rFonts w:ascii="Arial" w:cs="Arial" w:eastAsia="Arial" w:hAnsi="Arial"/>
          <w:sz w:val="22"/>
          <w:szCs w:val="22"/>
        </w:rPr>
        <w:t xml:space="preserve">$3,243 in avoidable losses.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Potential labour savings from demand forecasting: </w:t>
      </w:r>
      <w:r>
        <w:rPr>
          <w:rFonts w:ascii="Arial" w:cs="Arial" w:eastAsia="Arial" w:hAnsi="Arial"/>
          <w:sz w:val="22"/>
          <w:szCs w:val="22"/>
        </w:rPr>
        <w:t xml:space="preserve">~$2,410/year.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recoverable benefit: </w:t>
      </w:r>
      <w:r>
        <w:rPr>
          <w:rFonts w:ascii="Arial" w:cs="Arial" w:eastAsia="Arial" w:hAnsi="Arial"/>
          <w:sz w:val="22"/>
          <w:szCs w:val="22"/>
        </w:rPr>
        <w:t xml:space="preserve">~$3,557/year.</w:t>
      </w:r>
    </w:p>
    <w:p>
      <w:pPr>
        <w:spacing w:after="120"/>
      </w:pPr>
    </w:p>
    <w:p>
      <w:pPr>
        <w:pBdr>
          <w:bottom w:val="single" w:color="2E86C1" w:sz="4" w:space="4"/>
        </w:pBdr>
        <w:spacing w:before="120" w:after="120"/>
      </w:pPr>
    </w:p>
    <w:p>
      <w:pPr>
        <w:pStyle w:val="Heading1"/>
      </w:pPr>
      <w:r>
        <w:rPr>
          <w:color w:val="1B4F72"/>
        </w:rPr>
        <w:t xml:space="preserve">What to Do — Priority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actions, ranked by impact and urgency: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Reduce waste scanning (NOW): </w:t>
      </w:r>
      <w:r>
        <w:rPr>
          <w:rFonts w:ascii="Arial" w:cs="Arial" w:eastAsia="Arial" w:hAnsi="Arial"/>
          <w:sz w:val="22"/>
          <w:szCs w:val="22"/>
        </w:rPr>
        <w:t xml:space="preserve">Audit the top 5 REDUCED FV items. Cut their order quantities by 15–20%. Target: below 5.0 REDUCED lines/day within 60 days.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Eliminate open-ring scanning (NOW): </w:t>
      </w:r>
      <w:r>
        <w:rPr>
          <w:rFonts w:ascii="Arial" w:cs="Arial" w:eastAsia="Arial" w:hAnsi="Arial"/>
          <w:sz w:val="22"/>
          <w:szCs w:val="22"/>
        </w:rPr>
        <w:t xml:space="preserve">Assign a PLU to every item. Retrain cashiers. Target: below 0.5 open-ring lines/day.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rollbacks on Margin Trap items (1–3 months): </w:t>
      </w:r>
      <w:r>
        <w:rPr>
          <w:rFonts w:ascii="Arial" w:cs="Arial" w:eastAsia="Arial" w:hAnsi="Arial"/>
          <w:sz w:val="22"/>
          <w:szCs w:val="22"/>
        </w:rPr>
        <w:t xml:space="preserve">Trial lower prices on Green Grapes and Baby Lebanese Cucumbers. Measure volume response over 4 weeks.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ordering aid (1–3 months): </w:t>
      </w:r>
      <w:r>
        <w:rPr>
          <w:rFonts w:ascii="Arial" w:cs="Arial" w:eastAsia="Arial" w:hAnsi="Arial"/>
          <w:sz w:val="22"/>
          <w:szCs w:val="22"/>
        </w:rPr>
        <w:t xml:space="preserve">Use a 4-week same-weekday moving average for top 20 items. Can be done in a spreadsheet — no new software needed.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Prophet forecast model (3–12 months): </w:t>
      </w:r>
      <w:r>
        <w:rPr>
          <w:rFonts w:ascii="Arial" w:cs="Arial" w:eastAsia="Arial" w:hAnsi="Arial"/>
          <w:sz w:val="22"/>
          <w:szCs w:val="22"/>
        </w:rPr>
        <w:t xml:space="preserve">Build per-item forecasts with weekly seasonality, holidays, and specials flags. Target: MAPE &lt;15% on top 10 items.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Maintain waste log &amp; monthly KPI review (ongoing): </w:t>
      </w:r>
      <w:r>
        <w:rPr>
          <w:rFonts w:ascii="Arial" w:cs="Arial" w:eastAsia="Arial" w:hAnsi="Arial"/>
          <w:sz w:val="22"/>
          <w:szCs w:val="22"/>
        </w:rPr>
        <w:t xml:space="preserve">Keep logging waste daily. Re-run analysis monthly to track progress against targets.</w:t>
      </w:r>
    </w:p>
    <w:p>
      <w:pPr>
        <w:spacing w:after="120"/>
      </w:pPr>
    </w:p>
    <w:p>
      <w:pPr>
        <w:pBdr>
          <w:bottom w:val="single" w:color="2E86C1" w:sz="4" w:space="4"/>
        </w:pBdr>
        <w:spacing w:before="120" w:after="120"/>
      </w:pPr>
    </w:p>
    <w:p>
      <w:pPr>
        <w:pStyle w:val="Heading1"/>
      </w:pPr>
      <w:r>
        <w:rPr>
          <w:color w:val="1B4F72"/>
        </w:rPr>
        <w:t xml:space="preserve">Tools &amp; Deliverables Built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has already produced the following: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Executive EDA Report (Jupyter Notebook): </w:t>
      </w:r>
      <w:r>
        <w:rPr>
          <w:rFonts w:ascii="Arial" w:cs="Arial" w:eastAsia="Arial" w:hAnsi="Arial"/>
          <w:sz w:val="22"/>
          <w:szCs w:val="22"/>
        </w:rPr>
        <w:t xml:space="preserve">61-cell interactive analysis with 12 sections covering all topics above, professional visualisations, and embedded conclusions.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Financial Impact &amp; KPI Report (.docx): </w:t>
      </w:r>
      <w:r>
        <w:rPr>
          <w:rFonts w:ascii="Arial" w:cs="Arial" w:eastAsia="Arial" w:hAnsi="Arial"/>
          <w:sz w:val="22"/>
          <w:szCs w:val="22"/>
        </w:rPr>
        <w:t xml:space="preserve">Detailed projection methodology, measured loss tables, full-year projections, and a KPI framework with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Initiative Presentation (.pptx): </w:t>
      </w:r>
      <w:r>
        <w:rPr>
          <w:rFonts w:ascii="Arial" w:cs="Arial" w:eastAsia="Arial" w:hAnsi="Arial"/>
          <w:sz w:val="22"/>
          <w:szCs w:val="22"/>
        </w:rPr>
        <w:t xml:space="preserve">12-slide management pitch covering findings, financial impact, tools built, and the 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Overview (.docx): </w:t>
      </w:r>
      <w:r>
        <w:rPr>
          <w:rFonts w:ascii="Arial" w:cs="Arial" w:eastAsia="Arial" w:hAnsi="Arial"/>
          <w:sz w:val="22"/>
          <w:szCs w:val="22"/>
        </w:rPr>
        <w:t xml:space="preserve">Simplified, topic-based summary for quick reference.</w:t>
      </w:r>
    </w:p>
    <w:p>
      <w:pPr>
        <w:spacing w:after="400"/>
      </w:pPr>
    </w:p>
    <w:p>
      <w:pPr>
        <w:pBdr>
          <w:top w:val="single" w:color="2E86C1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End of Overview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Fruit &amp; Veg EDA Overview</w:t>
    </w: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	Foodland Wudinna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2026-03-23T06:29:06.646Z</dcterms:created>
  <dcterms:modified xsi:type="dcterms:W3CDTF">2026-03-23T06:29:06.646Z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