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Um agente de QA que aprende as regras do negócio — e nunca deixa de testá-las.</w:t>
      </w:r>
    </w:p>
    <w:p>
      <w:pPr>
        <w:pStyle w:val="Corpodetextosubtitle"/>
        <w:bidi w:val="0"/>
        <w:rPr/>
      </w:pPr>
      <w:r>
        <w:rPr/>
        <w:t>Proposta para transformar conhecimento de regra de negócio, hoje concentrado no time, em testes de regressão gerados, mantidos e auditáveis por um agente de IA acionável em um comando.</w:t>
      </w:r>
    </w:p>
    <w:p>
      <w:pPr>
        <w:pStyle w:val="BodyText"/>
        <w:bidi w:val="0"/>
        <w:spacing w:before="120" w:after="480"/>
        <w:ind w:hanging="0" w:left="0" w:right="0"/>
        <w:rPr>
          <w:rFonts w:ascii="Courier New;monospace" w:hAnsi="Courier New;monospace"/>
          <w:color w:val="555555"/>
          <w:sz w:val="19"/>
        </w:rPr>
      </w:pPr>
      <w:r>
        <w:rPr>
          <w:rFonts w:ascii="Courier New;monospace" w:hAnsi="Courier New;monospace"/>
          <w:b/>
          <w:color w:val="555555"/>
          <w:sz w:val="19"/>
        </w:rPr>
        <w:t>Documento</w:t>
      </w:r>
      <w:r>
        <w:rPr>
          <w:rFonts w:ascii="Courier New;monospace" w:hAnsi="Courier New;monospace"/>
          <w:color w:val="555555"/>
          <w:sz w:val="19"/>
        </w:rPr>
        <w:t>Plano de produto — protótipo de manual — para decisão de investimento</w:t>
        <w:br/>
        <w:br/>
      </w:r>
      <w:r>
        <w:rPr>
          <w:rFonts w:ascii="Courier New;monospace" w:hAnsi="Courier New;monospace"/>
          <w:b/>
          <w:color w:val="555555"/>
          <w:sz w:val="19"/>
        </w:rPr>
        <w:t>Escopo do MVP</w:t>
      </w:r>
      <w:r>
        <w:rPr>
          <w:rFonts w:ascii="Courier New;monospace" w:hAnsi="Courier New;monospace"/>
          <w:color w:val="555555"/>
          <w:sz w:val="19"/>
        </w:rPr>
        <w:t>1 projeto web · regra de negócio → teste E2E</w:t>
        <w:br/>
      </w:r>
      <w:r>
        <w:rPr>
          <w:rFonts w:ascii="Courier New;monospace" w:hAnsi="Courier New;monospace"/>
          <w:b/>
          <w:color w:val="555555"/>
          <w:sz w:val="19"/>
        </w:rPr>
        <w:t>Interface</w:t>
      </w:r>
      <w:r>
        <w:rPr>
          <w:rFonts w:ascii="Courier New;monospace" w:hAnsi="Courier New;monospace"/>
          <w:color w:val="555555"/>
          <w:sz w:val="19"/>
        </w:rPr>
        <w:t>CLI (qa-agent)</w:t>
        <w:br/>
      </w:r>
      <w:r>
        <w:rPr>
          <w:rFonts w:ascii="Courier New;monospace" w:hAnsi="Courier New;monospace"/>
          <w:b/>
          <w:color w:val="555555"/>
          <w:sz w:val="19"/>
        </w:rPr>
        <w:t>Stack</w:t>
      </w:r>
      <w:r>
        <w:rPr>
          <w:rFonts w:ascii="Courier New;monospace" w:hAnsi="Courier New;monospace"/>
          <w:color w:val="555555"/>
          <w:sz w:val="19"/>
        </w:rPr>
        <w:t>Node.js/TypeScript + Cypress</w:t>
        <w:br/>
      </w:r>
      <w:r>
        <w:rPr>
          <w:rFonts w:ascii="Courier New;monospace" w:hAnsi="Courier New;monospace"/>
          <w:b/>
          <w:color w:val="555555"/>
          <w:sz w:val="19"/>
        </w:rPr>
        <w:t>Status</w:t>
      </w:r>
      <w:r>
        <w:rPr>
          <w:rFonts w:ascii="Courier New;monospace" w:hAnsi="Courier New;monospace"/>
          <w:color w:val="555555"/>
          <w:sz w:val="19"/>
        </w:rPr>
        <w:t xml:space="preserve">Conceito refinado, pronto para build </w:t>
      </w:r>
    </w:p>
    <w:p>
      <w:pPr>
        <w:pStyle w:val="Ttulo2no-break"/>
        <w:bidi w:val="0"/>
        <w:jc w:val="left"/>
        <w:rPr/>
      </w:pPr>
      <w:r>
        <w:rPr/>
        <w:t>I. O problema</w:t>
      </w:r>
    </w:p>
    <w:p>
      <w:pPr>
        <w:pStyle w:val="Corpodetextolede"/>
        <w:bidi w:val="0"/>
        <w:rPr/>
      </w:pPr>
      <w:r>
        <w:rPr/>
        <w:t>Nosso maior risco de qualidade não é código malfeito — é conhecimento que existe só na cabeça de quem já resolveu aquele caso antes. Regras de negócio se acumulam em anos de tasks, PRs e conversas, espalhadas por múltiplos projetos sem um padrão de arquitetura em comum.</w:t>
      </w:r>
    </w:p>
    <w:p>
      <w:pPr>
        <w:pStyle w:val="Blocodecitao"/>
        <w:bidi w:val="0"/>
        <w:jc w:val="left"/>
        <w:rPr/>
      </w:pPr>
      <w:r>
        <w:rPr/>
        <w:t>Quando uma regra vigente não está escrita em lugar nenhum consultável, ela só é lembrada até a pessoa certa sair de férias — ou do time.</w:t>
      </w:r>
    </w:p>
    <w:p>
      <w:pPr>
        <w:pStyle w:val="BodyText"/>
        <w:bidi w:val="0"/>
        <w:spacing w:before="160" w:after="280"/>
        <w:ind w:hanging="0" w:left="160" w:right="160"/>
        <w:rPr/>
      </w:pPr>
      <w:r>
        <w:rPr>
          <w:b/>
        </w:rPr>
        <w:t>Regressão silenciosa</w:t>
      </w:r>
      <w:r>
        <w:rPr/>
        <w:t>Uma feature nova reintroduz um comportamento que já foi corrigido — porque a regra que evitava isso nunca ficou registrada de um jeito que o próximo engenheiro pudesse consultar.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Fragmentação multi-projeto</w:t>
      </w:r>
      <w:r>
        <w:rPr/>
        <w:t>A mesma regra pode atravessar frontend e backend, em repositórios diferentes, sem padrão comum — o que dificulta até saber que a regra existe.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QA como gargalo caro</w:t>
      </w:r>
      <w:r>
        <w:rPr/>
        <w:t>Cobertura de regressão depende de tempo de engenheiro sênior revalidando manualmente o que o time já sabe de cabeça — não escala.</w:t>
      </w:r>
    </w:p>
    <w:p>
      <w:pPr>
        <w:pStyle w:val="BodyText"/>
        <w:bidi w:val="0"/>
        <w:rPr/>
      </w:pPr>
      <w:r>
        <w:rPr/>
        <w:t xml:space="preserve">A dor mais urgente, validada em refinamento com o time: </w:t>
      </w:r>
      <w:r>
        <w:rPr>
          <w:b/>
        </w:rPr>
        <w:t>não é falta de teste em geral — é falta de teste de regressão amarrado à regra de negócio</w:t>
      </w:r>
      <w:r>
        <w:rPr/>
        <w:t>. O valor só é percebido quando o teste regressivo é de fato gerado e mantido, não com um repositório de regras passivo para consulta.</w:t>
      </w:r>
    </w:p>
    <w:p>
      <w:pPr>
        <w:pStyle w:val="Heading2"/>
        <w:bidi w:val="0"/>
        <w:jc w:val="left"/>
        <w:rPr/>
      </w:pPr>
      <w:r>
        <w:rPr/>
        <w:t>II. A tese do produto</w:t>
      </w:r>
    </w:p>
    <w:p>
      <w:pPr>
        <w:pStyle w:val="Corpodetextolede"/>
        <w:bidi w:val="0"/>
        <w:rPr/>
      </w:pPr>
      <w:r>
        <w:rPr/>
        <w:t>Não é uma ferramenta única — é um agente de QA autônomo, acionável pelo engenheiro no terminal, que entende a regra, escreve o teste, roda e presta contas do que cobriu.</w:t>
      </w:r>
    </w:p>
    <w:p>
      <w:pPr>
        <w:pStyle w:val="BodyText"/>
        <w:bidi w:val="0"/>
        <w:spacing w:before="160" w:after="280"/>
        <w:ind w:hanging="0" w:left="160" w:right="160"/>
        <w:rPr/>
      </w:pPr>
      <w:r>
        <w:rPr>
          <w:b/>
        </w:rPr>
        <w:t>1. Entende</w:t>
      </w:r>
      <w:r>
        <w:rPr/>
        <w:t>Busca a regra de negócio na task, valida com o engenheiro responsável em uma sessão de refinamento — nunca decide sozinho.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2. Codifica</w:t>
      </w:r>
      <w:r>
        <w:rPr/>
        <w:t>Gera o teste de regressão de verdade, no framework que o projeto já usa — não é um sugestor de texto, é um agente de codificação.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3. Presta contas</w:t>
      </w:r>
      <w:r>
        <w:rPr/>
        <w:t>Roda o teste e devolve um relatório explícito: o que da regra foi coberto, o que não foi, o que ficou incerto.</w:t>
      </w:r>
    </w:p>
    <w:p>
      <w:pPr>
        <w:pStyle w:val="BodyText"/>
        <w:bidi w:val="0"/>
        <w:rPr/>
      </w:pPr>
      <w:r>
        <w:rPr>
          <w:b/>
        </w:rPr>
        <w:t>Por que CLI, e não um portal:</w:t>
      </w:r>
      <w:r>
        <w:rPr/>
        <w:t xml:space="preserve"> o time já vive em terminal e IDE. O mesmo binário roda local, no comando do engenheiro, e na esteira do GitHub Actions — sem duplicar lógica entre uso manual e automatizado, e sem tirar ninguém do fluxo de trabalho para "abrir um sistema à parte".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4"/>
        <w:gridCol w:w="4594"/>
      </w:tblGrid>
      <w:tr>
        <w:trPr/>
        <w:tc>
          <w:tcPr>
            <w:tcW w:w="494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interface — o CLI, reaproveitado por engenheiro e pipeline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5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módulos desenhados, entregues em cortes verticais que já provam valor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0%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de regra confirmada sem validação humana</w:t>
            </w:r>
          </w:p>
        </w:tc>
      </w:tr>
    </w:tbl>
    <w:p>
      <w:pPr>
        <w:pStyle w:val="Heading2"/>
        <w:bidi w:val="0"/>
        <w:jc w:val="left"/>
        <w:rPr/>
      </w:pPr>
      <w:r>
        <w:rPr/>
        <w:t>III. Como funciona</w:t>
      </w:r>
    </w:p>
    <w:p>
      <w:pPr>
        <w:pStyle w:val="Corpodetextolede"/>
        <w:bidi w:val="0"/>
        <w:rPr/>
      </w:pPr>
      <w:r>
        <w:rPr/>
        <w:t>O núcleo do sistema não tenta "entender o projeto inteiro" — inviável sem padrão de arquitetura comum entre repositórios. Ele entende um recorte por vez: a feature X, conforme a task Y, tocando os arquivos Z — através de três camadas de confiança.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6"/>
        <w:gridCol w:w="1351"/>
        <w:gridCol w:w="2581"/>
      </w:tblGrid>
      <w:tr>
        <w:trPr/>
        <w:tc>
          <w:tcPr>
            <w:tcW w:w="1156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Camada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Confiança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A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Alta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A task na ferramenta de gerenciamento de projeto. Histórias e critérios de aceite são a fonte primária, mais barata e mais confiável de regra de negócio.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B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Média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O código como evidência — nunca fonte de verdade — usado para linkar regra ↔ implementação, dando rastreabilidade task → arquivos → PR.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Baixa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Inferência: na ausência de task ou doc, a IA infere a partir do código, mas marca explicitamente como "inferido, não confirmado" até validação humana.</w:t>
            </w:r>
          </w:p>
        </w:tc>
      </w:tr>
    </w:tbl>
    <w:p>
      <w:pPr>
        <w:pStyle w:val="Heading3"/>
        <w:bidi w:val="0"/>
        <w:jc w:val="left"/>
        <w:rPr/>
      </w:pPr>
      <w:r>
        <w:rPr/>
        <w:t>O mecanismo de confiabilidade: nenhuma regra nasce sozinha</w:t>
      </w:r>
    </w:p>
    <w:p>
      <w:pPr>
        <w:pStyle w:val="BodyText"/>
        <w:bidi w:val="0"/>
        <w:rPr/>
      </w:pPr>
      <w:r>
        <w:rPr/>
        <w:t xml:space="preserve">Toda regra nova — venha do bootstrap inicial de um projeto ou de uma task do dia a dia — passa por uma </w:t>
      </w:r>
      <w:r>
        <w:rPr>
          <w:b/>
        </w:rPr>
        <w:t>sessão de refinamento com o engenheiro responsável</w:t>
      </w:r>
      <w:r>
        <w:rPr/>
        <w:t xml:space="preserve"> antes de virar fonte de verdade. A IA propõe e extrai; o engenheiro valida, ajusta ou rejeita, em uma conversa — nunca um "aprovar" de tela única.</w:t>
      </w:r>
    </w:p>
    <w:p>
      <w:pPr>
        <w:pStyle w:val="BodyText"/>
        <w:bidi w:val="0"/>
        <w:rPr/>
      </w:pPr>
      <w:r>
        <w:rPr/>
        <w:t xml:space="preserve">A sessão roda em </w:t>
      </w:r>
      <w:r>
        <w:rPr>
          <w:b/>
        </w:rPr>
        <w:t>lote</w:t>
      </w:r>
      <w:r>
        <w:rPr/>
        <w:t>: todas as regras candidatas de uma feature de uma vez, não pergunta por pergunta — evita gargalo e dá ao engenheiro visão de conjunto para notar contradições entre as próprias regras da mesma entrega.</w:t>
      </w:r>
    </w:p>
    <w:p>
      <w:pPr>
        <w:pStyle w:val="Heading3"/>
        <w:bidi w:val="0"/>
        <w:jc w:val="left"/>
        <w:rPr/>
      </w:pPr>
      <w:r>
        <w:rPr/>
        <w:t>Conhecimento técnico do projeto: a "skill"</w:t>
      </w:r>
    </w:p>
    <w:p>
      <w:pPr>
        <w:pStyle w:val="BodyText"/>
        <w:bidi w:val="0"/>
        <w:rPr/>
      </w:pPr>
      <w:r>
        <w:rPr/>
        <w:t>Além da regra de negócio (o quê o sistema deve fazer), o agente também aprende como aquele projeto especificamente é construído e testado — convenção de estrutura de teste, padrão de mock, nomenclatura.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1707"/>
        <w:gridCol w:w="1850"/>
      </w:tblGrid>
      <w:tr>
        <w:trPr/>
        <w:tc>
          <w:tcPr>
            <w:tcW w:w="153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Regra de negócio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Skill técnica do projeto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Responde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O quê o sistema faz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Como este projeto é construído/testado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Volatilidade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Alta — muda com frequência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Baixa — convenção muda raramente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Governança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Sessão de refinamento + detecção de conflito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Mesma sessão + revalidação por âncora técnica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Nasce de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Task → código → inferência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Observação do código existente no bootstrap</w:t>
            </w:r>
          </w:p>
        </w:tc>
      </w:tr>
    </w:tbl>
    <w:p>
      <w:pPr>
        <w:pStyle w:val="Heading2"/>
        <w:bidi w:val="0"/>
        <w:jc w:val="left"/>
        <w:rPr/>
      </w:pPr>
      <w:r>
        <w:rPr/>
        <w:t>IV. Guardrails de custo de IA</w:t>
      </w:r>
    </w:p>
    <w:p>
      <w:pPr>
        <w:pStyle w:val="Corpodetextolede"/>
        <w:bidi w:val="0"/>
        <w:rPr/>
      </w:pPr>
      <w:r>
        <w:rPr/>
        <w:t>Um sistema que "entende regra de negócio" pode virar caro rápido se mandar contexto demais para o modelo a cada chamada. O desenho já nasce com tetos explícitos, não como ajuste posterior.</w:t>
      </w:r>
    </w:p>
    <w:p>
      <w:pPr>
        <w:pStyle w:val="BodyText"/>
        <w:bidi w:val="0"/>
        <w:spacing w:before="160" w:after="280"/>
        <w:ind w:hanging="0" w:left="160" w:right="160"/>
        <w:rPr/>
      </w:pPr>
      <w:r>
        <w:rPr>
          <w:b/>
        </w:rPr>
        <w:t>Retrieval seletivo — nunca o repo/board inteiro</w:t>
      </w:r>
      <w:r>
        <w:rPr/>
        <w:t>Cada operação recebe só o subgrafo de regra relevante à feature — não o histórico completo do projeto nem do board de tasks.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Orçamento, não contagem — teto por tokens, não por item</w:t>
      </w:r>
      <w:r>
        <w:rPr/>
        <w:t>Em vez de "top-10 regras", um orçamento máximo de tokens por operação — corta as menos relevantes até caber, começando conservador e calibrado com dado real do piloto.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Higiene de dado — regra revogada não entra na conta</w:t>
      </w:r>
      <w:r>
        <w:rPr/>
        <w:t>Regras substituídas saem da comparação ativa por padrão — sem isso, o conjunto comparado a cada nova regra só cresceria com a idade do projeto.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Rede de segurança — teto agregado mensal</w:t>
      </w:r>
      <w:r>
        <w:rPr/>
        <w:t>Além do limite por operação, um teto diário/mensal no orquestrador corta ou alerta antes que um caso não previsto consuma o orçamento de um mês inteiro de uma vez.</w:t>
      </w:r>
    </w:p>
    <w:p>
      <w:pPr>
        <w:pStyle w:val="BodyText"/>
        <w:bidi w:val="0"/>
        <w:rPr/>
      </w:pPr>
      <w:r>
        <w:rPr>
          <w:b/>
        </w:rPr>
        <w:t>Efeito prático:</w:t>
      </w:r>
      <w:r>
        <w:rPr/>
        <w:t xml:space="preserve"> o consumo de token não cresce junto com a maturidade da base de regras — cresce com o volume de trabalho novo, que é o mesmo custo que já existiria de qualquer forma.</w:t>
      </w:r>
    </w:p>
    <w:p>
      <w:pPr>
        <w:pStyle w:val="Heading2"/>
        <w:bidi w:val="0"/>
        <w:jc w:val="left"/>
        <w:rPr/>
      </w:pPr>
      <w:r>
        <w:rPr/>
        <w:t>V. Escopo do MVP</w:t>
      </w:r>
    </w:p>
    <w:p>
      <w:pPr>
        <w:pStyle w:val="Corpodetextolede"/>
        <w:bidi w:val="0"/>
        <w:rPr/>
      </w:pPr>
      <w:r>
        <w:rPr/>
        <w:t>Um corte vertical fino: prova de que dá pra ir de "regra de negócio validada" a "teste E2E regressivo executável, com relatório de cobertura" — nada além disso precisa funcionar ainda.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5"/>
        <w:gridCol w:w="2613"/>
      </w:tblGrid>
      <w:tr>
        <w:trPr/>
        <w:tc>
          <w:tcPr>
            <w:tcW w:w="2475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Dentro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Fora — evolução planejada</w:t>
            </w:r>
          </w:p>
        </w:tc>
      </w:tr>
      <w:tr>
        <w:trPr/>
        <w:tc>
          <w:tcPr>
            <w:tcW w:w="2475" w:type="dxa"/>
            <w:tcBorders/>
            <w:vAlign w:val="center"/>
          </w:tcPr>
          <w:p>
            <w:pPr>
              <w:pStyle w:val="Contedodatabela"/>
              <w:numPr>
                <w:ilvl w:val="0"/>
                <w:numId w:val="1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Um projeto web puro (Angular ou Next) — sem WebView nesta fase </w:t>
            </w:r>
          </w:p>
          <w:p>
            <w:pPr>
              <w:pStyle w:val="Contedodatabela"/>
              <w:numPr>
                <w:ilvl w:val="0"/>
                <w:numId w:val="1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Task → sessão de refinamento → regra confirmada </w:t>
            </w:r>
          </w:p>
          <w:p>
            <w:pPr>
              <w:pStyle w:val="Contedodatabela"/>
              <w:numPr>
                <w:ilvl w:val="0"/>
                <w:numId w:val="1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Geração (não incremento) de teste E2E em Cypress </w:t>
            </w:r>
          </w:p>
          <w:p>
            <w:pPr>
              <w:pStyle w:val="Contedodatabela"/>
              <w:numPr>
                <w:ilvl w:val="0"/>
                <w:numId w:val="1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Relatório de cobertura da regra: coberto vs. não coberto </w:t>
            </w:r>
          </w:p>
          <w:p>
            <w:pPr>
              <w:pStyle w:val="Contedodatabela"/>
              <w:numPr>
                <w:ilvl w:val="0"/>
                <w:numId w:val="1"/>
              </w:numPr>
              <w:tabs>
                <w:tab w:val="clear" w:pos="1134"/>
                <w:tab w:val="left" w:pos="829" w:leader="none"/>
              </w:tabs>
              <w:bidi w:val="0"/>
              <w:spacing w:before="120" w:after="120"/>
              <w:ind w:hanging="283" w:left="829"/>
              <w:jc w:val="left"/>
              <w:rPr/>
            </w:pPr>
            <w:r>
              <w:rPr/>
              <w:t xml:space="preserve">CLI funcional, com poucos comandos 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Contedodatabela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Canal WebView/SDK próprio </w:t>
            </w:r>
          </w:p>
          <w:p>
            <w:pPr>
              <w:pStyle w:val="Contedodatabela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Bootstrap completo, base central cross-projeto, detecção de conflito </w:t>
            </w:r>
          </w:p>
          <w:p>
            <w:pPr>
              <w:pStyle w:val="Contedodatabela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Skill técnica por projeto </w:t>
            </w:r>
          </w:p>
          <w:p>
            <w:pPr>
              <w:pStyle w:val="Contedodatabela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Incremento de teste existente </w:t>
            </w:r>
          </w:p>
          <w:p>
            <w:pPr>
              <w:pStyle w:val="Contedodatabela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120"/>
              <w:ind w:hanging="283" w:left="829"/>
              <w:jc w:val="left"/>
              <w:rPr/>
            </w:pPr>
            <w:r>
              <w:rPr/>
              <w:t xml:space="preserve">Testes unitários, massa de dados, dashboard, orquestrador de triagem </w:t>
            </w:r>
          </w:p>
        </w:tc>
      </w:tr>
    </w:tbl>
    <w:p>
      <w:pPr>
        <w:pStyle w:val="Blocodecitao"/>
        <w:bidi w:val="0"/>
        <w:jc w:val="left"/>
        <w:rPr/>
      </w:pPr>
      <w:r>
        <w:rPr/>
        <w:t>Critério de aceite: 1 task real → sessão de refinamento → teste E2E executável e correto → relatório explícito do que da regra ficou coberto.</w:t>
      </w:r>
    </w:p>
    <w:p>
      <w:pPr>
        <w:pStyle w:val="Heading2"/>
        <w:bidi w:val="0"/>
        <w:jc w:val="left"/>
        <w:rPr/>
      </w:pPr>
      <w:r>
        <w:rPr/>
        <w:t>VI. Manual de uso — protótipo</w:t>
      </w:r>
    </w:p>
    <w:p>
      <w:pPr>
        <w:pStyle w:val="Corpodetextolede"/>
        <w:bidi w:val="0"/>
        <w:rPr/>
      </w:pPr>
      <w:r>
        <w:rPr/>
        <w:t>Como a experiência se parece na prática, do ponto de vista do engenheiro, do primeiro comando ao relatório final.</w:t>
      </w:r>
    </w:p>
    <w:p>
      <w:pPr>
        <w:pStyle w:val="BodyText"/>
        <w:bidi w:val="0"/>
        <w:spacing w:before="200" w:after="200"/>
        <w:ind w:hanging="0" w:left="200" w:right="200"/>
        <w:rPr>
          <w:rFonts w:ascii="Courier New;monospace" w:hAnsi="Courier New;monospace"/>
          <w:color w:val="D8ECDF"/>
          <w:sz w:val="18"/>
          <w:shd w:fill="14201A" w:val="clear"/>
        </w:rPr>
      </w:pPr>
      <w:r>
        <w:rPr>
          <w:rFonts w:ascii="Courier New;monospace" w:hAnsi="Courier New;monospace"/>
          <w:color w:val="D8ECDF"/>
          <w:sz w:val="18"/>
          <w:shd w:fill="14201A" w:val="clear"/>
        </w:rPr>
        <w:t>$ qa-agent gerar-testes --task=XPTO-2231 buscando XPTO-2231 na ferramenta de gerenciamento de projeto… ✓ critério de aceite encontrado (Camada A) regra candidata detectada: "desconto máximo de 20% sobre o pedido sem aprovação de supervisor" ── sessão de refinamento ────────────────────────── ? Essa regra vale pra todo tipo de cliente, ou só varejo? › vale pra todos, exceto contas corporativas (regra própria, TASK-88) ? No limite exato de 20%, conta como "acima" ou "dentro"? › dentro — só acima de 20% exige aprovação ✓ regra confirmada e salva em .qa-context/regras/desconto-maximo.json gerando teste E2E (Cypress, convenção já usada no projeto)… ✓ cypress/e2e/pedido/desconto-maximo.cy.ts criado executando… 1 passed</w:t>
      </w:r>
    </w:p>
    <w:p>
      <w:pPr>
        <w:pStyle w:val="BodyText"/>
        <w:bidi w:val="0"/>
        <w:rPr/>
      </w:pPr>
      <w:r>
        <w:rPr/>
        <w:t>O relatório final não para em "passou" — mostra explicitamente o que da regra ficou coberto: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"/>
        <w:gridCol w:w="4667"/>
      </w:tblGrid>
      <w:tr>
        <w:trPr/>
        <w:tc>
          <w:tcPr>
            <w:tcW w:w="42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ind w:hanging="0" w:left="0" w:right="0"/>
              <w:jc w:val="left"/>
              <w:rPr>
                <w:color w:val="1C4530"/>
              </w:rPr>
            </w:pPr>
            <w:r>
              <w:rPr>
                <w:color w:val="1C4530"/>
              </w:rPr>
              <w:t>✓</w:t>
            </w:r>
          </w:p>
        </w:tc>
        <w:tc>
          <w:tcPr>
            <w:tcW w:w="466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Desconto de 20% aplicado sem exigir aprovação (caminho principal)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color w:val="1C4530"/>
              </w:rPr>
            </w:pPr>
            <w:r>
              <w:rPr>
                <w:color w:val="1C4530"/>
              </w:rPr>
              <w:t>✓</w:t>
            </w:r>
          </w:p>
        </w:tc>
        <w:tc>
          <w:tcPr>
            <w:tcW w:w="466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Desconto de 20,01% bloqueado sem aprovação de supervisor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color w:val="A8641F"/>
              </w:rPr>
            </w:pPr>
            <w:r>
              <w:rPr>
                <w:color w:val="A8641F"/>
              </w:rPr>
              <w:t>△</w:t>
            </w:r>
          </w:p>
        </w:tc>
        <w:tc>
          <w:tcPr>
            <w:tcW w:w="466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Fluxo de aprovação do supervisor concedendo o desconto acima do limite — não coberto, exige mock de permissão de supervisor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color w:val="A8641F"/>
              </w:rPr>
            </w:pPr>
            <w:r>
              <w:rPr>
                <w:color w:val="A8641F"/>
              </w:rPr>
              <w:t>△</w:t>
            </w:r>
          </w:p>
        </w:tc>
        <w:tc>
          <w:tcPr>
            <w:tcW w:w="466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Comportamento para conta corporativa (regra distinta, TASK-88) — não coberto neste teste</w:t>
            </w:r>
          </w:p>
        </w:tc>
      </w:tr>
    </w:tbl>
    <w:p>
      <w:pPr>
        <w:pStyle w:val="BodyText"/>
        <w:bidi w:val="0"/>
        <w:rPr/>
      </w:pPr>
      <w:r>
        <w:rPr/>
        <w:t>A decisão de aceitar essa cobertura ou pedir incremento é do engenheiro — o agente nunca declara "cobertura suficiente" sozinho.</w:t>
      </w:r>
    </w:p>
    <w:p>
      <w:pPr>
        <w:pStyle w:val="Heading2"/>
        <w:bidi w:val="0"/>
        <w:jc w:val="left"/>
        <w:rPr/>
      </w:pPr>
      <w:r>
        <w:rPr/>
        <w:t>VII. Roadmap de execução do MVP</w:t>
      </w:r>
    </w:p>
    <w:p>
      <w:pPr>
        <w:pStyle w:val="Corpodetextolede"/>
        <w:bidi w:val="0"/>
        <w:rPr/>
      </w:pPr>
      <w:r>
        <w:rPr/>
        <w:t>Oito fases, cada uma desbloqueando a próxima — sem construir infraestrutura que o MVP ainda não precisa.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Esqueleto do CLI</w:t>
      </w:r>
      <w:r>
        <w:rPr/>
        <w:t xml:space="preserve"> — projeto Node.js/TypeScript, comando </w:t>
      </w:r>
      <w:r>
        <w:rPr>
          <w:i/>
        </w:rPr>
        <w:t>qa-agent gerar-testes --task=X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Camada A — task</w:t>
      </w:r>
      <w:r>
        <w:rPr/>
        <w:t xml:space="preserve"> — CLI como cliente MCP da ferramenta de gerenciamento de projeto já disponível; busca critérios de aceite.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Adapter de LLM</w:t>
      </w:r>
      <w:r>
        <w:rPr/>
        <w:t xml:space="preserve"> — interface model-agnostic, com uma implementação real — desacoplada de provedor específico desde o início.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Sessão de refinamento</w:t>
      </w:r>
      <w:r>
        <w:rPr/>
        <w:t xml:space="preserve"> — extração de regra candidata, sessão em lote no CLI, confirmação salva localmente.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Servidor de contexto mínimo</w:t>
      </w:r>
      <w:r>
        <w:rPr/>
        <w:t xml:space="preserve"> — mcp-project-context servindo a regra confirmada, sem índice de busca ainda.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Geração do teste Cypress</w:t>
      </w:r>
      <w:r>
        <w:rPr/>
        <w:t xml:space="preserve"> — a partir da regra confirmada e de exemplos de teste já existentes no projeto.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Execução + relatório de cobertura</w:t>
      </w:r>
      <w:r>
        <w:rPr/>
        <w:t xml:space="preserve"> — roda o teste gerado e compara contra o enunciado completo da regra.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Validação ponta a ponta</w:t>
      </w:r>
      <w:r>
        <w:rPr/>
        <w:t xml:space="preserve"> — fluxo completo com uma task real do projeto piloto — critério de aceite do MVP. </w:t>
      </w:r>
    </w:p>
    <w:p>
      <w:pPr>
        <w:pStyle w:val="Heading2"/>
        <w:bidi w:val="0"/>
        <w:jc w:val="left"/>
        <w:rPr/>
      </w:pPr>
      <w:r>
        <w:rPr/>
        <w:t>VIII. Riscos mapeados</w:t>
      </w:r>
    </w:p>
    <w:p>
      <w:pPr>
        <w:pStyle w:val="Corpodetextolede"/>
        <w:bidi w:val="0"/>
        <w:rPr/>
      </w:pPr>
      <w:r>
        <w:rPr/>
        <w:t>Nada aqui foi ignorado — foi endereçado no desenho ou fica explicitamente como próxima decisão, não como ponto cego.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1"/>
        <w:gridCol w:w="1771"/>
        <w:gridCol w:w="1546"/>
      </w:tblGrid>
      <w:tr>
        <w:trPr/>
        <w:tc>
          <w:tcPr>
            <w:tcW w:w="1771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Risco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Como é endereçado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tulodetabela"/>
              <w:suppressLineNumbers/>
              <w:shd w:fill="EEF1EC" w:val="clear"/>
              <w:bidi w:val="0"/>
              <w:spacing w:before="120" w:after="12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Custo de IA cresce com a maturidade da base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Teto de contexto por operação + rede de segurança agregada mensal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Endereçado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IA "aprende errado" uma regra ou convenção do projeto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Nenhuma regra ou skill vira fonte de verdade sem sessão de refinamento humana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Endereçado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Duas edições concorrentes de regra em paralelo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Conflito textual resolvido nativamente pelo controle de versão; conflito semântico pego por sync reforçado antes do commit final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Endereçado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Teste passa mas não cobre a regra inteira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Relatório de cobertura explícito, comparando teste contra o enunciado completo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Endereçado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Reinventar infraestrutura de massa de dados que já existe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Módulo 3 reaproveita o portal de massas já em uso (geração + seed de ambiente) via wrapper MCP fino; lacunas viram pedido aos mantenedores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Endereçado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Canal WebView pode se comportar diferente do canal web direto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Identificado e escopado como evolução planejada pós-MVP, não ignorado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Em observação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Valor concreto do orçamento de token ainda não calibrado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Ponto de partida conservador, ajustado com dado real do piloto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Em observação</w:t>
            </w:r>
          </w:p>
        </w:tc>
      </w:tr>
    </w:tbl>
    <w:p>
      <w:pPr>
        <w:pStyle w:val="Heading2"/>
        <w:bidi w:val="0"/>
        <w:jc w:val="left"/>
        <w:rPr/>
      </w:pPr>
      <w:r>
        <w:rPr/>
        <w:t>IX. Evolução planejada além do MVP</w:t>
      </w:r>
    </w:p>
    <w:p>
      <w:pPr>
        <w:pStyle w:val="Corpodetextolede"/>
        <w:bidi w:val="0"/>
        <w:rPr/>
      </w:pPr>
      <w:r>
        <w:rPr/>
        <w:t>O MVP prova o corte fino. Nenhuma capacidade descartada — só sequenciada.</w:t>
      </w:r>
    </w:p>
    <w:p>
      <w:pPr>
        <w:pStyle w:val="BodyText"/>
        <w:bidi w:val="0"/>
        <w:spacing w:before="160" w:after="280"/>
        <w:ind w:hanging="0" w:left="160" w:right="160"/>
        <w:rPr/>
      </w:pPr>
      <w:r>
        <w:rPr>
          <w:b/>
        </w:rPr>
        <w:t>Incremento de teste</w:t>
      </w:r>
      <w:r>
        <w:rPr/>
        <w:t>Ajustar teste existente em vez de só gerar novo, aproximando-se de um agente de codificação completo.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Canal WebView/SDK</w:t>
      </w:r>
      <w:r>
        <w:rPr/>
        <w:t>Cobrir também o canal de comunicação via SDK próprio, não só o acesso web direto.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Base central cross-projeto</w:t>
      </w:r>
      <w:r>
        <w:rPr/>
        <w:t>Repositório único consolidando regras de todos os projetos, com detecção de conflito entre times.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Skill técnica por projeto</w:t>
      </w:r>
      <w:r>
        <w:rPr/>
        <w:t>Convenções técnicas aprendidas e reaproveitadas, reduzindo ainda mais custo de token por geração.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Massa de dados (Módulo 3) — reaproveita infra existente</w:t>
      </w:r>
      <w:r>
        <w:rPr/>
        <w:t>Não construímos do zero: integração com o portal de massas já mantido pelo time, via wrapper MCP fino.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Painel de rastreabilidade (Módulo 5)</w:t>
      </w:r>
      <w:r>
        <w:rPr/>
        <w:t>Cobertura por regra de negócio, não só por linha — visível para além do engenheiro individual.</w:t>
      </w:r>
    </w:p>
    <w:p>
      <w:pPr>
        <w:pStyle w:val="Heading2"/>
        <w:bidi w:val="0"/>
        <w:jc w:val="left"/>
        <w:rPr/>
      </w:pPr>
      <w:r>
        <w:rPr/>
        <w:t>X. Glossário rápido</w:t>
      </w:r>
    </w:p>
    <w:tbl>
      <w:tblPr>
        <w:tblW w:w="50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0"/>
        <w:gridCol w:w="3318"/>
      </w:tblGrid>
      <w:tr>
        <w:trPr/>
        <w:tc>
          <w:tcPr>
            <w:tcW w:w="177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Regra de negócio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Fato de domínio versionado — o que o sistema deve fazer — com origem, camada de confiança e histórico de substituição.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Sessão de refinamento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Conversa entre o agente e o engenheiro responsável, em lote, que valida toda regra ou skill antes de virar fonte de verdade.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Camadas A/B/C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Hierarquia de confiança da regra: task (alta), código como evidência (média), inferência da IA (baixa, sempre marcada como tal).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Skill técnica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Conhecimento procedural do projeto — como ele testa, nomeia, estrutura — complementar à regra de negócio.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Relatório de cobertura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jc w:val="left"/>
              <w:rPr/>
            </w:pPr>
            <w:r>
              <w:rPr/>
              <w:t>Comparação entre o teste gerado e o enunciado completo da regra, listando o que foi e o que não foi exercitado.</w:t>
            </w:r>
          </w:p>
        </w:tc>
      </w:tr>
    </w:tbl>
    <w:p>
      <w:pPr>
        <w:pStyle w:val="Heading2"/>
        <w:bidi w:val="0"/>
        <w:jc w:val="left"/>
        <w:rPr/>
      </w:pPr>
      <w:r>
        <w:rPr/>
        <w:t>Próximo passo</w:t>
      </w:r>
    </w:p>
    <w:p>
      <w:pPr>
        <w:pStyle w:val="Heading3"/>
        <w:bidi w:val="0"/>
        <w:spacing w:before="80" w:after="120"/>
        <w:ind w:hanging="0" w:left="0" w:right="0"/>
        <w:jc w:val="left"/>
        <w:rPr/>
      </w:pPr>
      <w:r>
        <w:rPr/>
        <w:t>O que precisamos para começar o MVP</w:t>
      </w:r>
    </w:p>
    <w:p>
      <w:pPr>
        <w:pStyle w:val="BodyText"/>
        <w:bidi w:val="0"/>
        <w:spacing w:before="160" w:after="280"/>
        <w:ind w:hanging="0" w:left="160" w:right="160"/>
        <w:rPr/>
      </w:pPr>
      <w:r>
        <w:rPr>
          <w:b/>
        </w:rPr>
        <w:t>Escolher o piloto</w:t>
      </w:r>
      <w:r>
        <w:rPr/>
        <w:t>Um projeto Angular ou Next, com tasks bem preenchidas, escopo pequeno.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Acesso ao MCP de tasks</w:t>
      </w:r>
      <w:r>
        <w:rPr/>
        <w:t>Confirmar o que a ferramenta de gerenciamento de projeto já expõe hoje, para não duplicar capacidade.</w:t>
      </w:r>
    </w:p>
    <w:p>
      <w:pPr>
        <w:pStyle w:val="BodyText"/>
        <w:bidi w:val="0"/>
        <w:spacing w:before="160" w:after="280"/>
        <w:ind w:left="160" w:right="160"/>
        <w:rPr/>
      </w:pPr>
      <w:r>
        <w:rPr>
          <w:b/>
        </w:rPr>
        <w:t>Tempo de build</w:t>
      </w:r>
      <w:r>
        <w:rPr/>
        <w:t>Oito fases sequenciais, cada uma com entrega verificável — sem infraestrutura antecipada.</w:t>
      </w:r>
    </w:p>
    <w:p>
      <w:pPr>
        <w:pStyle w:val="Corpodetextofooter-note"/>
        <w:bidi w:val="0"/>
        <w:spacing w:before="600" w:after="120"/>
        <w:rPr/>
      </w:pPr>
      <w:r>
        <w:rPr/>
        <w:t>Documento vivo — QA Inteligente — atualizado 2026-08-03.</w:t>
      </w:r>
    </w:p>
    <w:sectPr>
      <w:type w:val="nextPage"/>
      <w:pgSz w:w="11906" w:h="16838"/>
      <w:pgMar w:left="1247" w:right="1247" w:gutter="0" w:header="0" w:top="1361" w:footer="0" w:bottom="1361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Georgia;Times New Roman;serif" w:hAnsi="Georgia;Times New Roman;serif" w:eastAsia="Georgia;Times New Roman;serif" w:cs="Georgia;Times New Roman;serif"/>
      <w:color w:val="17231D"/>
      <w:sz w:val="23"/>
      <w:szCs w:val="23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80"/>
    </w:pPr>
    <w:rPr>
      <w:rFonts w:ascii="Noto Sans" w:hAnsi="Noto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pageBreakBefore/>
      <w:pBdr>
        <w:bottom w:val="single" w:sz="12" w:space="4" w:color="2F6F4F"/>
      </w:pBdr>
      <w:spacing w:before="520" w:after="120"/>
      <w:outlineLvl w:val="1"/>
    </w:pPr>
    <w:rPr>
      <w:rFonts w:ascii="Liberation Serif" w:hAnsi="Liberation Serif" w:eastAsia="Noto Serif CJK SC" w:cs="Noto Sans Devanagari"/>
      <w:b/>
      <w:bCs/>
      <w:color w:val="1C4530"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320" w:after="120"/>
      <w:outlineLvl w:val="2"/>
    </w:pPr>
    <w:rPr>
      <w:rFonts w:ascii="Liberation Serif" w:hAnsi="Liberation Serif" w:eastAsia="Noto Serif CJK SC" w:cs="Noto Sans Devanagari"/>
      <w:b/>
      <w:bCs/>
      <w:color w:val="1C4530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40"/>
      <w:outlineLvl w:val="3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2no-break">
    <w:name w:val="Título 2.no-break"/>
    <w:basedOn w:val="Heading2"/>
    <w:qFormat/>
    <w:pPr>
      <w:pageBreakBefore w:val="false"/>
      <w:ind w:hanging="0" w:left="0"/>
      <w:outlineLvl w:val="9"/>
    </w:pPr>
    <w:rPr/>
  </w:style>
  <w:style w:type="paragraph" w:styleId="Blocodecitao">
    <w:name w:val="Bloco de citação"/>
    <w:basedOn w:val="Normal"/>
    <w:qFormat/>
    <w:pPr>
      <w:pBdr>
        <w:left w:val="single" w:sz="24" w:space="14" w:color="2F6F4F"/>
      </w:pBdr>
      <w:spacing w:before="240" w:after="240"/>
      <w:ind w:hanging="0" w:left="240" w:right="240"/>
    </w:pPr>
    <w:rPr>
      <w:i/>
      <w:iCs/>
      <w:color w:val="333333"/>
    </w:rPr>
  </w:style>
  <w:style w:type="paragraph" w:styleId="Corpodetextosubtitle">
    <w:name w:val="Corpo de texto.subtitle"/>
    <w:basedOn w:val="BodyText"/>
    <w:qFormat/>
    <w:pPr>
      <w:spacing w:before="120" w:after="360"/>
    </w:pPr>
    <w:rPr>
      <w:color w:val="444444"/>
      <w:sz w:val="26"/>
      <w:szCs w:val="26"/>
    </w:rPr>
  </w:style>
  <w:style w:type="paragraph" w:styleId="Corpodetextolede">
    <w:name w:val="Corpo de texto.lede"/>
    <w:basedOn w:val="BodyText"/>
    <w:qFormat/>
    <w:pPr/>
    <w:rPr>
      <w:i/>
      <w:iCs/>
      <w:sz w:val="25"/>
      <w:szCs w:val="25"/>
    </w:rPr>
  </w:style>
  <w:style w:type="paragraph" w:styleId="Ttulodetabela">
    <w:name w:val="Título de tabela"/>
    <w:basedOn w:val="Contedodatabela"/>
    <w:qFormat/>
    <w:pPr>
      <w:suppressLineNumbers/>
      <w:shd w:fill="EEF1EC" w:val="clear"/>
      <w:jc w:val="left"/>
    </w:pPr>
    <w:rPr>
      <w:b/>
      <w:bCs/>
    </w:rPr>
  </w:style>
  <w:style w:type="paragraph" w:styleId="Corpodetextofooter-note">
    <w:name w:val="Corpo de texto.footer-note"/>
    <w:basedOn w:val="BodyText"/>
    <w:qFormat/>
    <w:pPr>
      <w:spacing w:before="600" w:after="120"/>
    </w:pPr>
    <w:rPr>
      <w:color w:val="777777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QA Inteligente — Plano de Produto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