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CE52D" w14:textId="3EF381D4" w:rsidR="009A77B6" w:rsidRDefault="0060746D" w:rsidP="001A7D88">
      <w:pPr>
        <w:jc w:val="center"/>
      </w:pPr>
      <w:r>
        <w:fldChar w:fldCharType="begin"/>
      </w:r>
      <w:r w:rsidR="00957AE7">
        <w:instrText xml:space="preserve"> ADDIN ZOTERO_ITEM CSL_CITATION {"citationID":"3OJRzsjS","properties":{"formattedCitation":"(Fleming 2012)","plainCitation":"(Fleming 2012)","noteIndex":0},"citationItems":[{"id":1748,"uris":["http://zotero.org/users/6955808/items/A9Q2K23S"],"uri":["http://zotero.org/users/6955808/items/A9Q2K23S"],"itemData":{"id":1748,"type":"book","publisher":"SAGE","title":"The End of Corporate Social Responsibility","URL":"https://books.google.ch/books?id=w89sDWnDDWkC&amp;dq=The+End+of+Corporate+Social+Responsibility.&amp;lr=&amp;source=gbs_navlinks_s","author":[{"family":"Fleming","given":"Peter"}],"issued":{"date-parts":[["2012",12,26]]}}}],"schema":"https://github.com/citation-style-language/schema/raw/master/csl-citation.json"} </w:instrText>
      </w:r>
      <w:r>
        <w:fldChar w:fldCharType="separate"/>
      </w:r>
      <w:r>
        <w:fldChar w:fldCharType="end"/>
      </w:r>
    </w:p>
    <w:p w14:paraId="28B3E234" w14:textId="2BE5A7E2" w:rsidR="00EB2307" w:rsidRDefault="00EB2307" w:rsidP="00EB2307">
      <w:pPr>
        <w:rPr>
          <w:lang w:val="en-GB"/>
        </w:rPr>
      </w:pPr>
    </w:p>
    <w:p w14:paraId="0711ACB2" w14:textId="77777777" w:rsidR="00EB2307" w:rsidRDefault="00EB2307" w:rsidP="00D34BC4">
      <w:pPr>
        <w:pStyle w:val="Title"/>
        <w:jc w:val="left"/>
        <w:rPr>
          <w:lang w:val="en-GB"/>
        </w:rPr>
      </w:pPr>
    </w:p>
    <w:p w14:paraId="61118BE3" w14:textId="5AFB994A" w:rsidR="00EB2307" w:rsidRDefault="00EB2307" w:rsidP="00FB7D9C">
      <w:pPr>
        <w:pStyle w:val="Title"/>
        <w:rPr>
          <w:lang w:val="en-GB"/>
        </w:rPr>
      </w:pPr>
      <w:r>
        <w:rPr>
          <w:lang w:val="en-GB"/>
        </w:rPr>
        <w:t>A neural networks approach to changes in European corporate communications in the wake of Fridays for Future</w:t>
      </w:r>
    </w:p>
    <w:p w14:paraId="4DEF337B" w14:textId="6C96C242" w:rsidR="00EB2307" w:rsidRDefault="00EB2307" w:rsidP="00FB7D9C">
      <w:pPr>
        <w:rPr>
          <w:lang w:val="en-GB"/>
        </w:rPr>
      </w:pPr>
    </w:p>
    <w:p w14:paraId="52F16546" w14:textId="11C7068C" w:rsidR="00EB2307" w:rsidRDefault="00EB2307" w:rsidP="00D533D1">
      <w:pPr>
        <w:rPr>
          <w:lang w:val="en-GB"/>
        </w:rPr>
      </w:pPr>
    </w:p>
    <w:p w14:paraId="1B52F3B7" w14:textId="32118AC4" w:rsidR="00EB2307" w:rsidRPr="00FB7D9C" w:rsidRDefault="00EB2307" w:rsidP="00FB7D9C">
      <w:pPr>
        <w:pStyle w:val="Title"/>
      </w:pPr>
      <w:r w:rsidRPr="00FB7D9C">
        <w:t>Masterarbeit</w:t>
      </w:r>
    </w:p>
    <w:p w14:paraId="66056215" w14:textId="3712C4D2" w:rsidR="00EB2307" w:rsidRPr="00FB7D9C" w:rsidRDefault="00EA1F75" w:rsidP="00FB7D9C">
      <w:pPr>
        <w:pStyle w:val="Title"/>
      </w:pPr>
      <w:r>
        <w:rPr>
          <w:lang w:val="de-CH"/>
        </w:rPr>
        <w:t>z</w:t>
      </w:r>
      <w:r w:rsidR="00EB2307" w:rsidRPr="00FB7D9C">
        <w:t xml:space="preserve">ur Erlangung des </w:t>
      </w:r>
    </w:p>
    <w:p w14:paraId="538C93D6" w14:textId="0778E823" w:rsidR="00EB2307" w:rsidRPr="00FB7D9C" w:rsidRDefault="00EB2307" w:rsidP="00FB7D9C">
      <w:pPr>
        <w:pStyle w:val="Title"/>
      </w:pPr>
      <w:r w:rsidRPr="00FB7D9C">
        <w:t>Mastergrades</w:t>
      </w:r>
    </w:p>
    <w:p w14:paraId="446E43C8" w14:textId="5EF8FD80" w:rsidR="00EB2307" w:rsidRPr="00FB7D9C" w:rsidRDefault="00EA1F75" w:rsidP="00FB7D9C">
      <w:pPr>
        <w:pStyle w:val="Title"/>
      </w:pPr>
      <w:r>
        <w:rPr>
          <w:lang w:val="de-CH"/>
        </w:rPr>
        <w:t>d</w:t>
      </w:r>
      <w:r w:rsidR="00EB2307" w:rsidRPr="00FB7D9C">
        <w:t xml:space="preserve">er Kultur- und Sozialwissenschaftlichen Fakultät der </w:t>
      </w:r>
    </w:p>
    <w:p w14:paraId="00068DF2" w14:textId="446AEAC2" w:rsidR="00EB2307" w:rsidRPr="00FB7D9C" w:rsidRDefault="00EB2307" w:rsidP="00FB7D9C">
      <w:pPr>
        <w:pStyle w:val="Title"/>
      </w:pPr>
      <w:r w:rsidRPr="00FB7D9C">
        <w:t>Universität Luzern</w:t>
      </w:r>
    </w:p>
    <w:p w14:paraId="54BCFD73" w14:textId="715410F9" w:rsidR="00EB2307" w:rsidRPr="00FB7D9C" w:rsidRDefault="00EB2307" w:rsidP="00FB7D9C">
      <w:pPr>
        <w:pStyle w:val="Title"/>
      </w:pPr>
    </w:p>
    <w:p w14:paraId="411C0563" w14:textId="6B077437" w:rsidR="00EB2307" w:rsidRPr="00FB7D9C" w:rsidRDefault="00EB2307" w:rsidP="00FB7D9C">
      <w:pPr>
        <w:pStyle w:val="Title"/>
      </w:pPr>
    </w:p>
    <w:p w14:paraId="17D2F62E" w14:textId="77777777" w:rsidR="00EA1F75" w:rsidRPr="00EA1F75" w:rsidRDefault="00EA1F75" w:rsidP="00EA1F75"/>
    <w:p w14:paraId="71AECD4C" w14:textId="5A06D6AB" w:rsidR="00EB2307" w:rsidRPr="00FB7D9C" w:rsidRDefault="00EB2307" w:rsidP="00FB7D9C">
      <w:pPr>
        <w:pStyle w:val="Title"/>
      </w:pPr>
    </w:p>
    <w:p w14:paraId="536633EA" w14:textId="60876D81" w:rsidR="00EB2307" w:rsidRDefault="00EA1F75" w:rsidP="00FB7D9C">
      <w:pPr>
        <w:pStyle w:val="Title"/>
      </w:pPr>
      <w:r>
        <w:rPr>
          <w:lang w:val="de-CH"/>
        </w:rPr>
        <w:t>v</w:t>
      </w:r>
      <w:r w:rsidR="00EB2307" w:rsidRPr="00FB7D9C">
        <w:t>orgelegt von</w:t>
      </w:r>
    </w:p>
    <w:p w14:paraId="1701DC67" w14:textId="77777777" w:rsidR="00EA1F75" w:rsidRPr="00EA1F75" w:rsidRDefault="00EA1F75" w:rsidP="00EA1F75"/>
    <w:p w14:paraId="7D2CAE36" w14:textId="362451DE" w:rsidR="00EB2307" w:rsidRPr="00FB7D9C" w:rsidRDefault="00EB2307" w:rsidP="00FB7D9C">
      <w:pPr>
        <w:pStyle w:val="Title"/>
      </w:pPr>
    </w:p>
    <w:p w14:paraId="2A657C0E" w14:textId="08718D48" w:rsidR="00EB2307" w:rsidRPr="00FB7D9C" w:rsidRDefault="00EB2307" w:rsidP="00FB7D9C">
      <w:pPr>
        <w:pStyle w:val="Title"/>
      </w:pPr>
      <w:r w:rsidRPr="00FB7D9C">
        <w:t>Fabio Keller</w:t>
      </w:r>
    </w:p>
    <w:p w14:paraId="0745A5B4" w14:textId="15F293C1" w:rsidR="00EB2307" w:rsidRPr="00FB7D9C" w:rsidRDefault="00EB2307" w:rsidP="00FB7D9C">
      <w:pPr>
        <w:pStyle w:val="Title"/>
      </w:pPr>
    </w:p>
    <w:p w14:paraId="161B10C8" w14:textId="2116E6E6" w:rsidR="00EB2307" w:rsidRPr="00FB7D9C" w:rsidRDefault="00EB2307" w:rsidP="00FB7D9C">
      <w:pPr>
        <w:pStyle w:val="Title"/>
      </w:pPr>
      <w:r w:rsidRPr="00FB7D9C">
        <w:t>16-309-098</w:t>
      </w:r>
    </w:p>
    <w:p w14:paraId="314AA731" w14:textId="7CC8EDD1" w:rsidR="00EB2307" w:rsidRDefault="00EB2307" w:rsidP="00FB7D9C">
      <w:pPr>
        <w:pStyle w:val="Title"/>
      </w:pPr>
    </w:p>
    <w:p w14:paraId="43586954" w14:textId="77777777" w:rsidR="00FB7D9C" w:rsidRPr="00FB7D9C" w:rsidRDefault="00FB7D9C" w:rsidP="00FB7D9C"/>
    <w:p w14:paraId="57C9725B" w14:textId="6634F9A1" w:rsidR="00EB2307" w:rsidRPr="00FB7D9C" w:rsidRDefault="00EB2307" w:rsidP="00FB7D9C">
      <w:pPr>
        <w:pStyle w:val="Title"/>
      </w:pPr>
    </w:p>
    <w:p w14:paraId="560B4A8C" w14:textId="03C6CD91" w:rsidR="00EB2307" w:rsidRPr="00FB7D9C" w:rsidRDefault="00EB2307" w:rsidP="00FB7D9C">
      <w:pPr>
        <w:pStyle w:val="Title"/>
      </w:pPr>
      <w:r w:rsidRPr="00FB7D9C">
        <w:t xml:space="preserve">Eingereicht am: </w:t>
      </w:r>
    </w:p>
    <w:p w14:paraId="16492420" w14:textId="0EFB999F" w:rsidR="00EB2307" w:rsidRPr="00FB7D9C" w:rsidRDefault="00EB2307" w:rsidP="00FB7D9C">
      <w:pPr>
        <w:pStyle w:val="Title"/>
      </w:pPr>
    </w:p>
    <w:p w14:paraId="654132DD" w14:textId="11493AC7" w:rsidR="00EB2307" w:rsidRPr="00FB7D9C" w:rsidRDefault="00EB2307" w:rsidP="00FB7D9C">
      <w:pPr>
        <w:pStyle w:val="Title"/>
      </w:pPr>
    </w:p>
    <w:p w14:paraId="4160ACC0" w14:textId="34D00E07" w:rsidR="00EB2307" w:rsidRPr="00FB7D9C" w:rsidRDefault="00EB2307" w:rsidP="00FB7D9C">
      <w:pPr>
        <w:pStyle w:val="Title"/>
      </w:pPr>
    </w:p>
    <w:p w14:paraId="2CB6F8F0" w14:textId="4C514781" w:rsidR="00EB2307" w:rsidRPr="00FB7D9C" w:rsidRDefault="00FB7D9C" w:rsidP="00FB7D9C">
      <w:pPr>
        <w:pStyle w:val="Title"/>
        <w:jc w:val="left"/>
      </w:pPr>
      <w:r w:rsidRPr="00FB7D9C">
        <w:t>Erstgutachter*in: Prof. Dr. Sophie Mützel</w:t>
      </w:r>
    </w:p>
    <w:p w14:paraId="4E2E3EFC" w14:textId="77777777" w:rsidR="00EE730E" w:rsidRDefault="00FB7D9C" w:rsidP="00EE730E">
      <w:pPr>
        <w:pStyle w:val="Title"/>
        <w:jc w:val="left"/>
      </w:pPr>
      <w:r w:rsidRPr="00FB7D9C">
        <w:t>Zweitgutachter*in: Dr. Gerret von Nordheim</w:t>
      </w:r>
    </w:p>
    <w:p w14:paraId="6EE01A8B" w14:textId="61E52F1F" w:rsidR="009251D5" w:rsidRPr="00B55603" w:rsidRDefault="00ED5AB6" w:rsidP="00B55603">
      <w:pPr>
        <w:pStyle w:val="Heading1"/>
      </w:pPr>
      <w:bookmarkStart w:id="0" w:name="_Toc96348109"/>
      <w:r w:rsidRPr="00B55603">
        <w:lastRenderedPageBreak/>
        <w:t>Statement of authorship</w:t>
      </w:r>
      <w:bookmarkEnd w:id="0"/>
    </w:p>
    <w:p w14:paraId="1D561E4B" w14:textId="140FDC9B" w:rsidR="00D533D1" w:rsidRDefault="00D533D1" w:rsidP="00D533D1">
      <w:r>
        <w:t>I declare that I have used no other sources and aids other than those indicated. All passages quoted from publications or paraphrased from these sources are indicated as such, i.e. cited or attributed. This Thesis was not submitted in any form for another degree or diploma at any university or other institution of tertiary education.</w:t>
      </w:r>
    </w:p>
    <w:p w14:paraId="333F3487" w14:textId="77777777" w:rsidR="00D34BC4" w:rsidRDefault="00D34BC4" w:rsidP="00D533D1"/>
    <w:p w14:paraId="0F883ACA" w14:textId="77777777" w:rsidR="00D34BC4" w:rsidRDefault="00D34BC4" w:rsidP="00D533D1"/>
    <w:p w14:paraId="1A05429A" w14:textId="0044F3F7" w:rsidR="00EE730E" w:rsidRPr="00EE730E" w:rsidRDefault="00D34BC4" w:rsidP="00D533D1">
      <w:pPr>
        <w:rPr>
          <w:lang w:val="de-CH"/>
        </w:rPr>
      </w:pPr>
      <w:r>
        <w:rPr>
          <w:lang w:val="de-CH"/>
        </w:rPr>
        <w:t xml:space="preserve">Fabio Keller, </w:t>
      </w:r>
      <w:r w:rsidR="00EE730E">
        <w:rPr>
          <w:lang w:val="de-CH"/>
        </w:rPr>
        <w:t>&lt;</w:t>
      </w:r>
      <w:proofErr w:type="spellStart"/>
      <w:r w:rsidR="00EE730E">
        <w:rPr>
          <w:lang w:val="de-CH"/>
        </w:rPr>
        <w:t>date</w:t>
      </w:r>
      <w:proofErr w:type="spellEnd"/>
      <w:r w:rsidR="00EE730E">
        <w:rPr>
          <w:lang w:val="de-CH"/>
        </w:rPr>
        <w:t>&gt;</w:t>
      </w:r>
    </w:p>
    <w:p w14:paraId="098BDC67" w14:textId="77777777" w:rsidR="00120A39" w:rsidRDefault="00120A39">
      <w:pPr>
        <w:spacing w:after="0" w:line="240" w:lineRule="auto"/>
        <w:rPr>
          <w:rFonts w:eastAsiaTheme="majorEastAsia" w:cstheme="majorBidi"/>
          <w:b/>
          <w:color w:val="000000" w:themeColor="text1"/>
          <w:sz w:val="32"/>
          <w:szCs w:val="32"/>
          <w:lang w:val="de-CH"/>
        </w:rPr>
      </w:pPr>
      <w:r>
        <w:rPr>
          <w:lang w:val="de-CH"/>
        </w:rPr>
        <w:br w:type="page"/>
      </w:r>
    </w:p>
    <w:p w14:paraId="152A8F16" w14:textId="287E1F84" w:rsidR="00EE730E" w:rsidRPr="00B55603" w:rsidRDefault="00120A39" w:rsidP="00B55603">
      <w:pPr>
        <w:pStyle w:val="Heading1"/>
      </w:pPr>
      <w:bookmarkStart w:id="1" w:name="_Toc96348110"/>
      <w:r w:rsidRPr="00B55603">
        <w:lastRenderedPageBreak/>
        <w:t>Acknowledgments</w:t>
      </w:r>
      <w:bookmarkEnd w:id="1"/>
    </w:p>
    <w:p w14:paraId="6CBE1B02" w14:textId="77777777" w:rsidR="0018501F" w:rsidRDefault="0018501F">
      <w:pPr>
        <w:spacing w:after="0" w:line="240" w:lineRule="auto"/>
        <w:rPr>
          <w:rFonts w:eastAsiaTheme="majorEastAsia" w:cstheme="majorBidi"/>
          <w:b/>
          <w:color w:val="000000" w:themeColor="text1"/>
          <w:sz w:val="32"/>
          <w:szCs w:val="32"/>
          <w:lang w:val="de-CH"/>
        </w:rPr>
      </w:pPr>
      <w:r>
        <w:rPr>
          <w:lang w:val="de-CH"/>
        </w:rPr>
        <w:br w:type="page"/>
      </w:r>
    </w:p>
    <w:p w14:paraId="7D17E531" w14:textId="6B3BB5E6" w:rsidR="0018501F" w:rsidRPr="00B55603" w:rsidRDefault="0018501F" w:rsidP="00B55603">
      <w:pPr>
        <w:pStyle w:val="Heading1"/>
      </w:pPr>
      <w:bookmarkStart w:id="2" w:name="_Toc96348111"/>
      <w:r w:rsidRPr="00B55603">
        <w:lastRenderedPageBreak/>
        <w:t>Abstract</w:t>
      </w:r>
      <w:bookmarkEnd w:id="2"/>
    </w:p>
    <w:p w14:paraId="27D45316" w14:textId="77777777" w:rsidR="00A16046" w:rsidRDefault="00A16046">
      <w:pPr>
        <w:spacing w:after="0" w:line="240" w:lineRule="auto"/>
      </w:pPr>
      <w:r>
        <w:br w:type="page"/>
      </w:r>
    </w:p>
    <w:p w14:paraId="44DB4F22" w14:textId="77777777" w:rsidR="002F5FBB" w:rsidRDefault="00A80EF9" w:rsidP="002F5FBB">
      <w:pPr>
        <w:pStyle w:val="Subtitle"/>
        <w:rPr>
          <w:noProof/>
        </w:rPr>
      </w:pPr>
      <w:r w:rsidRPr="002F5FBB">
        <w:lastRenderedPageBreak/>
        <w:t>Table of contents</w:t>
      </w:r>
      <w:r w:rsidR="0012079D">
        <w:rPr>
          <w:rStyle w:val="IntenseReference"/>
          <w:b/>
          <w:bCs w:val="0"/>
          <w:smallCaps w:val="0"/>
          <w:color w:val="000000" w:themeColor="text1"/>
          <w:spacing w:val="0"/>
        </w:rPr>
        <w:fldChar w:fldCharType="begin"/>
      </w:r>
      <w:r w:rsidR="0012079D" w:rsidRPr="002F5FBB">
        <w:rPr>
          <w:rStyle w:val="IntenseReference"/>
          <w:b/>
          <w:bCs w:val="0"/>
          <w:smallCaps w:val="0"/>
          <w:color w:val="000000" w:themeColor="text1"/>
          <w:spacing w:val="0"/>
        </w:rPr>
        <w:instrText xml:space="preserve"> TOC \o "1-2" \u </w:instrText>
      </w:r>
      <w:r w:rsidR="0012079D">
        <w:rPr>
          <w:rStyle w:val="IntenseReference"/>
          <w:b/>
          <w:bCs w:val="0"/>
          <w:smallCaps w:val="0"/>
          <w:color w:val="000000" w:themeColor="text1"/>
          <w:spacing w:val="0"/>
        </w:rPr>
        <w:fldChar w:fldCharType="separate"/>
      </w:r>
    </w:p>
    <w:p w14:paraId="2C77B168" w14:textId="4BC1EC4D" w:rsidR="002F5FBB" w:rsidRDefault="002F5FBB">
      <w:pPr>
        <w:pStyle w:val="TOC1"/>
        <w:tabs>
          <w:tab w:val="left" w:pos="480"/>
          <w:tab w:val="right" w:leader="dot" w:pos="9016"/>
        </w:tabs>
        <w:rPr>
          <w:rFonts w:asciiTheme="minorHAnsi" w:eastAsiaTheme="minorEastAsia" w:hAnsiTheme="minorHAnsi"/>
          <w:noProof/>
          <w:sz w:val="24"/>
          <w:lang w:eastAsia="en-GB"/>
        </w:rPr>
      </w:pPr>
      <w:r>
        <w:rPr>
          <w:noProof/>
        </w:rPr>
        <w:t>1.</w:t>
      </w:r>
      <w:r>
        <w:rPr>
          <w:rFonts w:asciiTheme="minorHAnsi" w:eastAsiaTheme="minorEastAsia" w:hAnsiTheme="minorHAnsi"/>
          <w:noProof/>
          <w:sz w:val="24"/>
          <w:lang w:eastAsia="en-GB"/>
        </w:rPr>
        <w:tab/>
      </w:r>
      <w:r w:rsidRPr="002F5FBB">
        <w:rPr>
          <w:noProof/>
          <w:lang w:val="en-US"/>
        </w:rPr>
        <w:t>Statement of authorship</w:t>
      </w:r>
      <w:r>
        <w:rPr>
          <w:noProof/>
        </w:rPr>
        <w:tab/>
      </w:r>
      <w:r>
        <w:rPr>
          <w:noProof/>
        </w:rPr>
        <w:fldChar w:fldCharType="begin"/>
      </w:r>
      <w:r>
        <w:rPr>
          <w:noProof/>
        </w:rPr>
        <w:instrText xml:space="preserve"> PAGEREF _Toc96348109 \h </w:instrText>
      </w:r>
      <w:r>
        <w:rPr>
          <w:noProof/>
        </w:rPr>
      </w:r>
      <w:r>
        <w:rPr>
          <w:noProof/>
        </w:rPr>
        <w:fldChar w:fldCharType="separate"/>
      </w:r>
      <w:r>
        <w:rPr>
          <w:noProof/>
        </w:rPr>
        <w:t>2</w:t>
      </w:r>
      <w:r>
        <w:rPr>
          <w:noProof/>
        </w:rPr>
        <w:fldChar w:fldCharType="end"/>
      </w:r>
    </w:p>
    <w:p w14:paraId="06DDBC66" w14:textId="0CFB435B" w:rsidR="002F5FBB" w:rsidRDefault="002F5FBB">
      <w:pPr>
        <w:pStyle w:val="TOC1"/>
        <w:tabs>
          <w:tab w:val="left" w:pos="480"/>
          <w:tab w:val="right" w:leader="dot" w:pos="9016"/>
        </w:tabs>
        <w:rPr>
          <w:rFonts w:asciiTheme="minorHAnsi" w:eastAsiaTheme="minorEastAsia" w:hAnsiTheme="minorHAnsi"/>
          <w:noProof/>
          <w:sz w:val="24"/>
          <w:lang w:eastAsia="en-GB"/>
        </w:rPr>
      </w:pPr>
      <w:r w:rsidRPr="002F5FBB">
        <w:rPr>
          <w:noProof/>
          <w:lang w:val="en-US"/>
        </w:rPr>
        <w:t>2.</w:t>
      </w:r>
      <w:r>
        <w:rPr>
          <w:rFonts w:asciiTheme="minorHAnsi" w:eastAsiaTheme="minorEastAsia" w:hAnsiTheme="minorHAnsi"/>
          <w:noProof/>
          <w:sz w:val="24"/>
          <w:lang w:eastAsia="en-GB"/>
        </w:rPr>
        <w:tab/>
      </w:r>
      <w:r w:rsidRPr="002F5FBB">
        <w:rPr>
          <w:noProof/>
          <w:lang w:val="en-US"/>
        </w:rPr>
        <w:t>Acknowledgments</w:t>
      </w:r>
      <w:r>
        <w:rPr>
          <w:noProof/>
        </w:rPr>
        <w:tab/>
      </w:r>
      <w:r>
        <w:rPr>
          <w:noProof/>
        </w:rPr>
        <w:fldChar w:fldCharType="begin"/>
      </w:r>
      <w:r>
        <w:rPr>
          <w:noProof/>
        </w:rPr>
        <w:instrText xml:space="preserve"> PAGEREF _Toc96348110 \h </w:instrText>
      </w:r>
      <w:r>
        <w:rPr>
          <w:noProof/>
        </w:rPr>
      </w:r>
      <w:r>
        <w:rPr>
          <w:noProof/>
        </w:rPr>
        <w:fldChar w:fldCharType="separate"/>
      </w:r>
      <w:r>
        <w:rPr>
          <w:noProof/>
        </w:rPr>
        <w:t>3</w:t>
      </w:r>
      <w:r>
        <w:rPr>
          <w:noProof/>
        </w:rPr>
        <w:fldChar w:fldCharType="end"/>
      </w:r>
    </w:p>
    <w:p w14:paraId="039151D3" w14:textId="3C62222C" w:rsidR="002F5FBB" w:rsidRDefault="002F5FBB">
      <w:pPr>
        <w:pStyle w:val="TOC1"/>
        <w:tabs>
          <w:tab w:val="left" w:pos="480"/>
          <w:tab w:val="right" w:leader="dot" w:pos="9016"/>
        </w:tabs>
        <w:rPr>
          <w:rFonts w:asciiTheme="minorHAnsi" w:eastAsiaTheme="minorEastAsia" w:hAnsiTheme="minorHAnsi"/>
          <w:noProof/>
          <w:sz w:val="24"/>
          <w:lang w:eastAsia="en-GB"/>
        </w:rPr>
      </w:pPr>
      <w:r>
        <w:rPr>
          <w:noProof/>
        </w:rPr>
        <w:t>3.</w:t>
      </w:r>
      <w:r>
        <w:rPr>
          <w:rFonts w:asciiTheme="minorHAnsi" w:eastAsiaTheme="minorEastAsia" w:hAnsiTheme="minorHAnsi"/>
          <w:noProof/>
          <w:sz w:val="24"/>
          <w:lang w:eastAsia="en-GB"/>
        </w:rPr>
        <w:tab/>
      </w:r>
      <w:r>
        <w:rPr>
          <w:noProof/>
        </w:rPr>
        <w:t>Abstract</w:t>
      </w:r>
      <w:r>
        <w:rPr>
          <w:noProof/>
        </w:rPr>
        <w:tab/>
      </w:r>
      <w:r>
        <w:rPr>
          <w:noProof/>
        </w:rPr>
        <w:fldChar w:fldCharType="begin"/>
      </w:r>
      <w:r>
        <w:rPr>
          <w:noProof/>
        </w:rPr>
        <w:instrText xml:space="preserve"> PAGEREF _Toc96348111 \h </w:instrText>
      </w:r>
      <w:r>
        <w:rPr>
          <w:noProof/>
        </w:rPr>
      </w:r>
      <w:r>
        <w:rPr>
          <w:noProof/>
        </w:rPr>
        <w:fldChar w:fldCharType="separate"/>
      </w:r>
      <w:r>
        <w:rPr>
          <w:noProof/>
        </w:rPr>
        <w:t>4</w:t>
      </w:r>
      <w:r>
        <w:rPr>
          <w:noProof/>
        </w:rPr>
        <w:fldChar w:fldCharType="end"/>
      </w:r>
    </w:p>
    <w:p w14:paraId="78FCCB0A" w14:textId="74D4F629" w:rsidR="002F5FBB" w:rsidRDefault="002F5FBB">
      <w:pPr>
        <w:pStyle w:val="TOC1"/>
        <w:tabs>
          <w:tab w:val="left" w:pos="480"/>
          <w:tab w:val="right" w:leader="dot" w:pos="9016"/>
        </w:tabs>
        <w:rPr>
          <w:rFonts w:asciiTheme="minorHAnsi" w:eastAsiaTheme="minorEastAsia" w:hAnsiTheme="minorHAnsi"/>
          <w:noProof/>
          <w:sz w:val="24"/>
          <w:lang w:eastAsia="en-GB"/>
        </w:rPr>
      </w:pPr>
      <w:r>
        <w:rPr>
          <w:noProof/>
        </w:rPr>
        <w:t>4.</w:t>
      </w:r>
      <w:r>
        <w:rPr>
          <w:rFonts w:asciiTheme="minorHAnsi" w:eastAsiaTheme="minorEastAsia" w:hAnsiTheme="minorHAnsi"/>
          <w:noProof/>
          <w:sz w:val="24"/>
          <w:lang w:eastAsia="en-GB"/>
        </w:rPr>
        <w:tab/>
      </w:r>
      <w:r>
        <w:rPr>
          <w:noProof/>
        </w:rPr>
        <w:t>List of figures</w:t>
      </w:r>
      <w:r>
        <w:rPr>
          <w:noProof/>
        </w:rPr>
        <w:tab/>
      </w:r>
      <w:r>
        <w:rPr>
          <w:noProof/>
        </w:rPr>
        <w:fldChar w:fldCharType="begin"/>
      </w:r>
      <w:r>
        <w:rPr>
          <w:noProof/>
        </w:rPr>
        <w:instrText xml:space="preserve"> PAGEREF _Toc96348112 \h </w:instrText>
      </w:r>
      <w:r>
        <w:rPr>
          <w:noProof/>
        </w:rPr>
      </w:r>
      <w:r>
        <w:rPr>
          <w:noProof/>
        </w:rPr>
        <w:fldChar w:fldCharType="separate"/>
      </w:r>
      <w:r>
        <w:rPr>
          <w:noProof/>
        </w:rPr>
        <w:t>6</w:t>
      </w:r>
      <w:r>
        <w:rPr>
          <w:noProof/>
        </w:rPr>
        <w:fldChar w:fldCharType="end"/>
      </w:r>
    </w:p>
    <w:p w14:paraId="1506321A" w14:textId="0E6B9B95" w:rsidR="002F5FBB" w:rsidRDefault="002F5FBB">
      <w:pPr>
        <w:pStyle w:val="TOC1"/>
        <w:tabs>
          <w:tab w:val="left" w:pos="480"/>
          <w:tab w:val="right" w:leader="dot" w:pos="9016"/>
        </w:tabs>
        <w:rPr>
          <w:rFonts w:asciiTheme="minorHAnsi" w:eastAsiaTheme="minorEastAsia" w:hAnsiTheme="minorHAnsi"/>
          <w:noProof/>
          <w:sz w:val="24"/>
          <w:lang w:eastAsia="en-GB"/>
        </w:rPr>
      </w:pPr>
      <w:r>
        <w:rPr>
          <w:noProof/>
        </w:rPr>
        <w:t>5.</w:t>
      </w:r>
      <w:r>
        <w:rPr>
          <w:rFonts w:asciiTheme="minorHAnsi" w:eastAsiaTheme="minorEastAsia" w:hAnsiTheme="minorHAnsi"/>
          <w:noProof/>
          <w:sz w:val="24"/>
          <w:lang w:eastAsia="en-GB"/>
        </w:rPr>
        <w:tab/>
      </w:r>
      <w:r>
        <w:rPr>
          <w:noProof/>
        </w:rPr>
        <w:t>List of tables</w:t>
      </w:r>
      <w:r>
        <w:rPr>
          <w:noProof/>
        </w:rPr>
        <w:tab/>
      </w:r>
      <w:r>
        <w:rPr>
          <w:noProof/>
        </w:rPr>
        <w:fldChar w:fldCharType="begin"/>
      </w:r>
      <w:r>
        <w:rPr>
          <w:noProof/>
        </w:rPr>
        <w:instrText xml:space="preserve"> PAGEREF _Toc96348113 \h </w:instrText>
      </w:r>
      <w:r>
        <w:rPr>
          <w:noProof/>
        </w:rPr>
      </w:r>
      <w:r>
        <w:rPr>
          <w:noProof/>
        </w:rPr>
        <w:fldChar w:fldCharType="separate"/>
      </w:r>
      <w:r>
        <w:rPr>
          <w:noProof/>
        </w:rPr>
        <w:t>7</w:t>
      </w:r>
      <w:r>
        <w:rPr>
          <w:noProof/>
        </w:rPr>
        <w:fldChar w:fldCharType="end"/>
      </w:r>
    </w:p>
    <w:p w14:paraId="29BCBF7A" w14:textId="52D5FDEA" w:rsidR="002F5FBB" w:rsidRDefault="002F5FBB">
      <w:pPr>
        <w:pStyle w:val="TOC1"/>
        <w:tabs>
          <w:tab w:val="left" w:pos="480"/>
          <w:tab w:val="right" w:leader="dot" w:pos="9016"/>
        </w:tabs>
        <w:rPr>
          <w:rFonts w:asciiTheme="minorHAnsi" w:eastAsiaTheme="minorEastAsia" w:hAnsiTheme="minorHAnsi"/>
          <w:noProof/>
          <w:sz w:val="24"/>
          <w:lang w:eastAsia="en-GB"/>
        </w:rPr>
      </w:pPr>
      <w:r w:rsidRPr="002F5FBB">
        <w:rPr>
          <w:noProof/>
          <w:lang w:val="en-US"/>
        </w:rPr>
        <w:t>6.</w:t>
      </w:r>
      <w:r>
        <w:rPr>
          <w:rFonts w:asciiTheme="minorHAnsi" w:eastAsiaTheme="minorEastAsia" w:hAnsiTheme="minorHAnsi"/>
          <w:noProof/>
          <w:sz w:val="24"/>
          <w:lang w:eastAsia="en-GB"/>
        </w:rPr>
        <w:tab/>
      </w:r>
      <w:r w:rsidRPr="002F5FBB">
        <w:rPr>
          <w:noProof/>
          <w:lang w:val="en-US"/>
        </w:rPr>
        <w:t>Introduction</w:t>
      </w:r>
      <w:r>
        <w:rPr>
          <w:noProof/>
        </w:rPr>
        <w:tab/>
      </w:r>
      <w:r>
        <w:rPr>
          <w:noProof/>
        </w:rPr>
        <w:fldChar w:fldCharType="begin"/>
      </w:r>
      <w:r>
        <w:rPr>
          <w:noProof/>
        </w:rPr>
        <w:instrText xml:space="preserve"> PAGEREF _Toc96348114 \h </w:instrText>
      </w:r>
      <w:r>
        <w:rPr>
          <w:noProof/>
        </w:rPr>
      </w:r>
      <w:r>
        <w:rPr>
          <w:noProof/>
        </w:rPr>
        <w:fldChar w:fldCharType="separate"/>
      </w:r>
      <w:r>
        <w:rPr>
          <w:noProof/>
        </w:rPr>
        <w:t>8</w:t>
      </w:r>
      <w:r>
        <w:rPr>
          <w:noProof/>
        </w:rPr>
        <w:fldChar w:fldCharType="end"/>
      </w:r>
    </w:p>
    <w:p w14:paraId="490A6F5B" w14:textId="3300CE01" w:rsidR="002F5FBB" w:rsidRDefault="002F5FBB">
      <w:pPr>
        <w:pStyle w:val="TOC1"/>
        <w:tabs>
          <w:tab w:val="left" w:pos="480"/>
          <w:tab w:val="right" w:leader="dot" w:pos="9016"/>
        </w:tabs>
        <w:rPr>
          <w:rFonts w:asciiTheme="minorHAnsi" w:eastAsiaTheme="minorEastAsia" w:hAnsiTheme="minorHAnsi"/>
          <w:noProof/>
          <w:sz w:val="24"/>
          <w:lang w:eastAsia="en-GB"/>
        </w:rPr>
      </w:pPr>
      <w:r>
        <w:rPr>
          <w:noProof/>
        </w:rPr>
        <w:t>7.</w:t>
      </w:r>
      <w:r>
        <w:rPr>
          <w:rFonts w:asciiTheme="minorHAnsi" w:eastAsiaTheme="minorEastAsia" w:hAnsiTheme="minorHAnsi"/>
          <w:noProof/>
          <w:sz w:val="24"/>
          <w:lang w:eastAsia="en-GB"/>
        </w:rPr>
        <w:tab/>
      </w:r>
      <w:r>
        <w:rPr>
          <w:noProof/>
        </w:rPr>
        <w:t>Background</w:t>
      </w:r>
      <w:r>
        <w:rPr>
          <w:noProof/>
        </w:rPr>
        <w:tab/>
      </w:r>
      <w:r>
        <w:rPr>
          <w:noProof/>
        </w:rPr>
        <w:fldChar w:fldCharType="begin"/>
      </w:r>
      <w:r>
        <w:rPr>
          <w:noProof/>
        </w:rPr>
        <w:instrText xml:space="preserve"> PAGEREF _Toc96348115 \h </w:instrText>
      </w:r>
      <w:r>
        <w:rPr>
          <w:noProof/>
        </w:rPr>
      </w:r>
      <w:r>
        <w:rPr>
          <w:noProof/>
        </w:rPr>
        <w:fldChar w:fldCharType="separate"/>
      </w:r>
      <w:r>
        <w:rPr>
          <w:noProof/>
        </w:rPr>
        <w:t>9</w:t>
      </w:r>
      <w:r>
        <w:rPr>
          <w:noProof/>
        </w:rPr>
        <w:fldChar w:fldCharType="end"/>
      </w:r>
    </w:p>
    <w:p w14:paraId="305ECD34" w14:textId="4D3343D5" w:rsidR="002F5FBB" w:rsidRDefault="002F5FBB">
      <w:pPr>
        <w:pStyle w:val="TOC1"/>
        <w:tabs>
          <w:tab w:val="left" w:pos="480"/>
          <w:tab w:val="right" w:leader="dot" w:pos="9016"/>
        </w:tabs>
        <w:rPr>
          <w:rFonts w:asciiTheme="minorHAnsi" w:eastAsiaTheme="minorEastAsia" w:hAnsiTheme="minorHAnsi"/>
          <w:noProof/>
          <w:sz w:val="24"/>
          <w:lang w:eastAsia="en-GB"/>
        </w:rPr>
      </w:pPr>
      <w:r w:rsidRPr="002F5FBB">
        <w:rPr>
          <w:noProof/>
          <w:lang w:val="en-US"/>
        </w:rPr>
        <w:t>8.</w:t>
      </w:r>
      <w:r>
        <w:rPr>
          <w:rFonts w:asciiTheme="minorHAnsi" w:eastAsiaTheme="minorEastAsia" w:hAnsiTheme="minorHAnsi"/>
          <w:noProof/>
          <w:sz w:val="24"/>
          <w:lang w:eastAsia="en-GB"/>
        </w:rPr>
        <w:tab/>
      </w:r>
      <w:r w:rsidRPr="002F5FBB">
        <w:rPr>
          <w:noProof/>
          <w:lang w:val="en-US"/>
        </w:rPr>
        <w:t>Methods</w:t>
      </w:r>
      <w:r>
        <w:rPr>
          <w:noProof/>
        </w:rPr>
        <w:tab/>
      </w:r>
      <w:r>
        <w:rPr>
          <w:noProof/>
        </w:rPr>
        <w:fldChar w:fldCharType="begin"/>
      </w:r>
      <w:r>
        <w:rPr>
          <w:noProof/>
        </w:rPr>
        <w:instrText xml:space="preserve"> PAGEREF _Toc96348116 \h </w:instrText>
      </w:r>
      <w:r>
        <w:rPr>
          <w:noProof/>
        </w:rPr>
      </w:r>
      <w:r>
        <w:rPr>
          <w:noProof/>
        </w:rPr>
        <w:fldChar w:fldCharType="separate"/>
      </w:r>
      <w:r>
        <w:rPr>
          <w:noProof/>
        </w:rPr>
        <w:t>10</w:t>
      </w:r>
      <w:r>
        <w:rPr>
          <w:noProof/>
        </w:rPr>
        <w:fldChar w:fldCharType="end"/>
      </w:r>
    </w:p>
    <w:p w14:paraId="3FF300E2" w14:textId="5CDEFC81" w:rsidR="002F5FBB" w:rsidRDefault="002F5FBB">
      <w:pPr>
        <w:pStyle w:val="TOC1"/>
        <w:tabs>
          <w:tab w:val="left" w:pos="480"/>
          <w:tab w:val="right" w:leader="dot" w:pos="9016"/>
        </w:tabs>
        <w:rPr>
          <w:rFonts w:asciiTheme="minorHAnsi" w:eastAsiaTheme="minorEastAsia" w:hAnsiTheme="minorHAnsi"/>
          <w:noProof/>
          <w:sz w:val="24"/>
          <w:lang w:eastAsia="en-GB"/>
        </w:rPr>
      </w:pPr>
      <w:r w:rsidRPr="002F5FBB">
        <w:rPr>
          <w:noProof/>
          <w:lang w:val="en-US"/>
        </w:rPr>
        <w:t>9.</w:t>
      </w:r>
      <w:r>
        <w:rPr>
          <w:rFonts w:asciiTheme="minorHAnsi" w:eastAsiaTheme="minorEastAsia" w:hAnsiTheme="minorHAnsi"/>
          <w:noProof/>
          <w:sz w:val="24"/>
          <w:lang w:eastAsia="en-GB"/>
        </w:rPr>
        <w:tab/>
      </w:r>
      <w:r w:rsidRPr="002F5FBB">
        <w:rPr>
          <w:noProof/>
          <w:lang w:val="en-US"/>
        </w:rPr>
        <w:t>Results and Discussion</w:t>
      </w:r>
      <w:r>
        <w:rPr>
          <w:noProof/>
        </w:rPr>
        <w:tab/>
      </w:r>
      <w:r>
        <w:rPr>
          <w:noProof/>
        </w:rPr>
        <w:fldChar w:fldCharType="begin"/>
      </w:r>
      <w:r>
        <w:rPr>
          <w:noProof/>
        </w:rPr>
        <w:instrText xml:space="preserve"> PAGEREF _Toc96348117 \h </w:instrText>
      </w:r>
      <w:r>
        <w:rPr>
          <w:noProof/>
        </w:rPr>
      </w:r>
      <w:r>
        <w:rPr>
          <w:noProof/>
        </w:rPr>
        <w:fldChar w:fldCharType="separate"/>
      </w:r>
      <w:r>
        <w:rPr>
          <w:noProof/>
        </w:rPr>
        <w:t>11</w:t>
      </w:r>
      <w:r>
        <w:rPr>
          <w:noProof/>
        </w:rPr>
        <w:fldChar w:fldCharType="end"/>
      </w:r>
    </w:p>
    <w:p w14:paraId="6875B265" w14:textId="4471D185" w:rsidR="002F5FBB" w:rsidRDefault="002F5FBB">
      <w:pPr>
        <w:pStyle w:val="TOC1"/>
        <w:tabs>
          <w:tab w:val="left" w:pos="720"/>
          <w:tab w:val="right" w:leader="dot" w:pos="9016"/>
        </w:tabs>
        <w:rPr>
          <w:rFonts w:asciiTheme="minorHAnsi" w:eastAsiaTheme="minorEastAsia" w:hAnsiTheme="minorHAnsi"/>
          <w:noProof/>
          <w:sz w:val="24"/>
          <w:lang w:eastAsia="en-GB"/>
        </w:rPr>
      </w:pPr>
      <w:r>
        <w:rPr>
          <w:noProof/>
        </w:rPr>
        <w:t>10.</w:t>
      </w:r>
      <w:r>
        <w:rPr>
          <w:rFonts w:asciiTheme="minorHAnsi" w:eastAsiaTheme="minorEastAsia" w:hAnsiTheme="minorHAnsi"/>
          <w:noProof/>
          <w:sz w:val="24"/>
          <w:lang w:eastAsia="en-GB"/>
        </w:rPr>
        <w:tab/>
      </w:r>
      <w:r>
        <w:rPr>
          <w:noProof/>
        </w:rPr>
        <w:t>Conclusion</w:t>
      </w:r>
      <w:r>
        <w:rPr>
          <w:noProof/>
        </w:rPr>
        <w:tab/>
      </w:r>
      <w:r>
        <w:rPr>
          <w:noProof/>
        </w:rPr>
        <w:fldChar w:fldCharType="begin"/>
      </w:r>
      <w:r>
        <w:rPr>
          <w:noProof/>
        </w:rPr>
        <w:instrText xml:space="preserve"> PAGEREF _Toc96348118 \h </w:instrText>
      </w:r>
      <w:r>
        <w:rPr>
          <w:noProof/>
        </w:rPr>
      </w:r>
      <w:r>
        <w:rPr>
          <w:noProof/>
        </w:rPr>
        <w:fldChar w:fldCharType="separate"/>
      </w:r>
      <w:r>
        <w:rPr>
          <w:noProof/>
        </w:rPr>
        <w:t>12</w:t>
      </w:r>
      <w:r>
        <w:rPr>
          <w:noProof/>
        </w:rPr>
        <w:fldChar w:fldCharType="end"/>
      </w:r>
    </w:p>
    <w:p w14:paraId="7127D6B4" w14:textId="090E806F" w:rsidR="00375156" w:rsidRDefault="0012079D" w:rsidP="0012079D">
      <w:pPr>
        <w:pStyle w:val="Heading1"/>
        <w:numPr>
          <w:ilvl w:val="0"/>
          <w:numId w:val="0"/>
        </w:numPr>
        <w:ind w:left="680" w:hanging="680"/>
      </w:pPr>
      <w:r>
        <w:fldChar w:fldCharType="end"/>
      </w:r>
    </w:p>
    <w:p w14:paraId="51462696" w14:textId="77777777" w:rsidR="00375156" w:rsidRDefault="00375156">
      <w:pPr>
        <w:spacing w:after="0" w:line="240" w:lineRule="auto"/>
      </w:pPr>
      <w:r>
        <w:br w:type="page"/>
      </w:r>
    </w:p>
    <w:p w14:paraId="0417C4F6" w14:textId="1B612628" w:rsidR="00B33D28" w:rsidRPr="00B55603" w:rsidRDefault="00397F5D" w:rsidP="00B55603">
      <w:pPr>
        <w:pStyle w:val="Heading1"/>
      </w:pPr>
      <w:bookmarkStart w:id="3" w:name="_Toc96348112"/>
      <w:r w:rsidRPr="00B55603">
        <w:lastRenderedPageBreak/>
        <w:t>List of figures</w:t>
      </w:r>
      <w:bookmarkEnd w:id="3"/>
    </w:p>
    <w:p w14:paraId="787972EF" w14:textId="77777777" w:rsidR="00375156" w:rsidRDefault="00375156">
      <w:pPr>
        <w:spacing w:after="0" w:line="240" w:lineRule="auto"/>
        <w:rPr>
          <w:lang w:val="de-CH"/>
        </w:rPr>
      </w:pPr>
      <w:r>
        <w:rPr>
          <w:lang w:val="de-CH"/>
        </w:rPr>
        <w:br w:type="page"/>
      </w:r>
    </w:p>
    <w:p w14:paraId="5A90D677" w14:textId="14AA8236" w:rsidR="00397F5D" w:rsidRPr="00B55603" w:rsidRDefault="00397F5D" w:rsidP="00B55603">
      <w:pPr>
        <w:pStyle w:val="Heading1"/>
      </w:pPr>
      <w:bookmarkStart w:id="4" w:name="_Toc96348113"/>
      <w:r w:rsidRPr="00B55603">
        <w:lastRenderedPageBreak/>
        <w:t>List of tables</w:t>
      </w:r>
      <w:bookmarkEnd w:id="4"/>
    </w:p>
    <w:p w14:paraId="4F0B8D24" w14:textId="77777777" w:rsidR="00375156" w:rsidRDefault="00375156">
      <w:pPr>
        <w:spacing w:after="0" w:line="240" w:lineRule="auto"/>
        <w:rPr>
          <w:lang w:val="de-CH"/>
        </w:rPr>
      </w:pPr>
      <w:r>
        <w:rPr>
          <w:lang w:val="de-CH"/>
        </w:rPr>
        <w:br w:type="page"/>
      </w:r>
    </w:p>
    <w:p w14:paraId="7372394F" w14:textId="1656F407" w:rsidR="00D76D5A" w:rsidRPr="00B55603" w:rsidRDefault="00D76D5A" w:rsidP="00B55603">
      <w:pPr>
        <w:pStyle w:val="Heading1"/>
      </w:pPr>
      <w:bookmarkStart w:id="5" w:name="_Toc96348114"/>
      <w:r w:rsidRPr="00B55603">
        <w:lastRenderedPageBreak/>
        <w:t>Introduction</w:t>
      </w:r>
      <w:bookmarkEnd w:id="5"/>
    </w:p>
    <w:p w14:paraId="0007E595" w14:textId="2BFAA613" w:rsidR="00C21B0D" w:rsidRPr="00C21B0D" w:rsidRDefault="00C21B0D" w:rsidP="00C21B0D">
      <w:pPr>
        <w:rPr>
          <w:lang w:eastAsia="en-GB"/>
        </w:rPr>
      </w:pPr>
      <w:r w:rsidRPr="00C21B0D">
        <w:rPr>
          <w:lang w:eastAsia="en-GB"/>
        </w:rPr>
        <w:t xml:space="preserve">Various large corporations worldwide claim to reduce greenhouse gas emissions, advance gender equality or implement effective risk management. According to Fleming and Jones </w:t>
      </w:r>
      <w:r w:rsidR="00FA4799">
        <w:rPr>
          <w:lang w:eastAsia="en-GB"/>
        </w:rPr>
        <w:fldChar w:fldCharType="begin"/>
      </w:r>
      <w:r w:rsidR="005A77E1">
        <w:rPr>
          <w:lang w:eastAsia="en-GB"/>
        </w:rPr>
        <w:instrText xml:space="preserve"> ADDIN ZOTERO_ITEM CSL_CITATION {"citationID":"0iSmItoy","properties":{"formattedCitation":"(Fleming 2012)","plainCitation":"(Fleming 2012)","noteIndex":0},"citationItems":[{"id":1748,"uris":["http://zotero.org/users/6955808/items/A9Q2K23S"],"uri":["http://zotero.org/users/6955808/items/A9Q2K23S"],"itemData":{"id":1748,"type":"book","publisher":"SAGE","title":"The End of Corporate Social Responsibility","URL":"https://books.google.ch/books?id=w89sDWnDDWkC&amp;dq=The+End+of+Corporate+Social+Responsibility.&amp;lr=&amp;source=gbs_navlinks_s","author":[{"family":"Fleming","given":"Peter"}],"issued":{"date-parts":[["2012",12,26]]}}}],"schema":"https://github.com/citation-style-language/schema/raw/master/csl-citation.json"} </w:instrText>
      </w:r>
      <w:r w:rsidR="00FA4799">
        <w:rPr>
          <w:lang w:eastAsia="en-GB"/>
        </w:rPr>
        <w:fldChar w:fldCharType="separate"/>
      </w:r>
      <w:r w:rsidR="00477659">
        <w:rPr>
          <w:noProof/>
          <w:lang w:eastAsia="en-GB"/>
        </w:rPr>
        <w:t>(Fleming 2012)</w:t>
      </w:r>
      <w:r w:rsidR="00FA4799">
        <w:rPr>
          <w:lang w:eastAsia="en-GB"/>
        </w:rPr>
        <w:fldChar w:fldCharType="end"/>
      </w:r>
      <w:r w:rsidRPr="00C21B0D">
        <w:rPr>
          <w:lang w:eastAsia="en-GB"/>
        </w:rPr>
        <w:t>, companies take environmental, social, and governance measures to attain legitimacy. Legitimacy is a general perception that an entity and its actions are good and right</w:t>
      </w:r>
      <w:r w:rsidR="005A77E1" w:rsidRPr="005A77E1">
        <w:rPr>
          <w:lang w:val="en-US" w:eastAsia="en-GB"/>
        </w:rPr>
        <w:t xml:space="preserve"> </w:t>
      </w:r>
      <w:r w:rsidR="005A77E1">
        <w:rPr>
          <w:lang w:eastAsia="en-GB"/>
        </w:rPr>
        <w:fldChar w:fldCharType="begin"/>
      </w:r>
      <w:r w:rsidR="005A77E1">
        <w:rPr>
          <w:lang w:eastAsia="en-GB"/>
        </w:rPr>
        <w:instrText xml:space="preserve"> ADDIN ZOTERO_ITEM CSL_CITATION {"citationID":"sOePbTrw","properties":{"formattedCitation":"(Suchman 1995)","plainCitation":"(Suchman 1995)","noteIndex":0},"citationItems":[{"id":1749,"uris":["http://zotero.org/users/6955808/items/IE8TBJT7"],"uri":["http://zotero.org/users/6955808/items/IE8TBJT7"],"itemData":{"id":1749,"type":"article-journal","container-title":"Academy of management review","issue":"3","note":"publisher: Academy of Management Briarcliff Manor, NY 10510","page":"571–610","title":"Managing legitimacy: Strategic and institutional approaches","volume":"20","author":[{"family":"Suchman","given":"Mark C"}],"issued":{"date-parts":[["1995"]]}}}],"schema":"https://github.com/citation-style-language/schema/raw/master/csl-citation.json"} </w:instrText>
      </w:r>
      <w:r w:rsidR="005A77E1">
        <w:rPr>
          <w:lang w:eastAsia="en-GB"/>
        </w:rPr>
        <w:fldChar w:fldCharType="separate"/>
      </w:r>
      <w:r w:rsidR="00477659">
        <w:rPr>
          <w:noProof/>
          <w:lang w:eastAsia="en-GB"/>
        </w:rPr>
        <w:t>(Suchman 1995)</w:t>
      </w:r>
      <w:r w:rsidR="005A77E1">
        <w:rPr>
          <w:lang w:eastAsia="en-GB"/>
        </w:rPr>
        <w:fldChar w:fldCharType="end"/>
      </w:r>
      <w:r w:rsidR="005A77E1" w:rsidRPr="005A77E1">
        <w:rPr>
          <w:lang w:val="en-US" w:eastAsia="en-GB"/>
        </w:rPr>
        <w:t>.</w:t>
      </w:r>
      <w:r w:rsidRPr="00C21B0D">
        <w:rPr>
          <w:lang w:eastAsia="en-GB"/>
        </w:rPr>
        <w:t xml:space="preserve"> Companies care about perception and corresponding legitimacy because it increases acceptance and recognition </w:t>
      </w:r>
      <w:r w:rsidR="00864B69">
        <w:rPr>
          <w:lang w:eastAsia="en-GB"/>
        </w:rPr>
        <w:fldChar w:fldCharType="begin"/>
      </w:r>
      <w:r w:rsidR="00644A08">
        <w:rPr>
          <w:lang w:eastAsia="en-GB"/>
        </w:rPr>
        <w:instrText xml:space="preserve"> ADDIN ZOTERO_ITEM CSL_CITATION {"citationID":"YTbaSVrU","properties":{"formattedCitation":"(Bergek, Jacobsson, and Bj\\uc0\\u246{}rn A. Sand\\uc0\\u233{}n 2008)","plainCitation":"(Bergek, Jacobsson, and Björn A. Sandén 2008)","noteIndex":0},"citationItems":[{"id":1751,"uris":["http://zotero.org/users/6955808/items/LNXV96GC"],"uri":["http://zotero.org/users/6955808/items/LNXV96GC"],"itemData":{"id":1751,"type":"article-journal","container-title":"Technology Analysis &amp; Strategic Management","DOI":"10.1080/09537320802292768","issue":"5","note":"publisher: Routledge\ntex.eprint: https://doi.org/10.1080/09537320802292768","page":"575-592","title":"‘Legitimation’ and ‘development of positive externalities’: two key processes in the formation phase of technological innovation systems","volume":"20","author":[{"family":"Bergek","given":"Anna"},{"family":"Jacobsson","given":"Staffan"},{"literal":"Björn A. Sandén"}],"issued":{"date-parts":[["2008"]]}}}],"schema":"https://github.com/citation-style-language/schema/raw/master/csl-citation.json"} </w:instrText>
      </w:r>
      <w:r w:rsidR="00864B69">
        <w:rPr>
          <w:lang w:eastAsia="en-GB"/>
        </w:rPr>
        <w:fldChar w:fldCharType="separate"/>
      </w:r>
      <w:r w:rsidR="00477659" w:rsidRPr="00477659">
        <w:rPr>
          <w:rFonts w:cs="Times New Roman"/>
          <w:lang w:val="en-GB"/>
        </w:rPr>
        <w:t>(Bergek, Jacobsson, and Björn A. Sandén 2008)</w:t>
      </w:r>
      <w:r w:rsidR="00864B69">
        <w:rPr>
          <w:lang w:eastAsia="en-GB"/>
        </w:rPr>
        <w:fldChar w:fldCharType="end"/>
      </w:r>
      <w:r w:rsidRPr="00C21B0D">
        <w:rPr>
          <w:lang w:eastAsia="en-GB"/>
        </w:rPr>
        <w:t>, contributes to economic success and helps to establish new products</w:t>
      </w:r>
      <w:r w:rsidR="00644A08" w:rsidRPr="00644A08">
        <w:rPr>
          <w:lang w:val="en-US" w:eastAsia="en-GB"/>
        </w:rPr>
        <w:t xml:space="preserve"> </w:t>
      </w:r>
      <w:r w:rsidR="00644A08">
        <w:rPr>
          <w:lang w:eastAsia="en-GB"/>
        </w:rPr>
        <w:fldChar w:fldCharType="begin"/>
      </w:r>
      <w:r w:rsidR="00644A08">
        <w:rPr>
          <w:lang w:eastAsia="en-GB"/>
        </w:rPr>
        <w:instrText xml:space="preserve"> ADDIN ZOTERO_ITEM CSL_CITATION {"citationID":"QN0ItHE3","properties":{"formattedCitation":"(Kwak, Zhang, and Yu 2019)","plainCitation":"(Kwak, Zhang, and Yu 2019)","noteIndex":0},"citationItems":[{"id":1750,"uris":["http://zotero.org/users/6955808/items/7TM82YB9"],"uri":["http://zotero.org/users/6955808/items/7TM82YB9"],"itemData":{"id":1750,"type":"article-journal","abstract":"Although existing studies have connected the emergence and development of e-commerce with infrastructure, culture, and regulations, we approach technological and platform acceptance from the perspective of legitimacy building. In our study, legitimacy is categorized into market, relational, and social legitimacy, and the link between each type of legitimacy and acceptance is explored. We select the case of Alibaba and argue that Alibaba was especially competent in building legitimacy. Alibaba's continuous efforts to build legitimacy facilitated platform evolution despite its exposed weakness in intellectual property rights. These efforts rendered Alibaba as a de facto standard e-business model. This research suggests that any firm that wants market acceptance for its platform or e-commerce technology should focus more on building legitimacy among stakeholders than on anything else.","container-title":"Technological Forecasting and Social Change","DOI":"https://doi.org/10.1016/j.techfore.2018.06.038","ISSN":"0040-1625","page":"115-124","title":"Legitimacy building and e-commerce platform development in China: The experience of Alibaba","volume":"139","author":[{"family":"Kwak","given":"Jooyoung"},{"family":"Zhang","given":"Yue"},{"family":"Yu","given":"Jiang"}],"issued":{"date-parts":[["2019"]]}}}],"schema":"https://github.com/citation-style-language/schema/raw/master/csl-citation.json"} </w:instrText>
      </w:r>
      <w:r w:rsidR="00644A08">
        <w:rPr>
          <w:lang w:eastAsia="en-GB"/>
        </w:rPr>
        <w:fldChar w:fldCharType="separate"/>
      </w:r>
      <w:r w:rsidR="00477659">
        <w:rPr>
          <w:noProof/>
          <w:lang w:eastAsia="en-GB"/>
        </w:rPr>
        <w:t>(Kwak, Zhang, and Yu 2019)</w:t>
      </w:r>
      <w:r w:rsidR="00644A08">
        <w:rPr>
          <w:lang w:eastAsia="en-GB"/>
        </w:rPr>
        <w:fldChar w:fldCharType="end"/>
      </w:r>
      <w:r w:rsidRPr="00C21B0D">
        <w:rPr>
          <w:lang w:eastAsia="en-GB"/>
        </w:rPr>
        <w:t>.</w:t>
      </w:r>
    </w:p>
    <w:p w14:paraId="49FF3502" w14:textId="059C0956" w:rsidR="00C21B0D" w:rsidRPr="00C21B0D" w:rsidRDefault="00C21B0D" w:rsidP="00C21B0D">
      <w:pPr>
        <w:rPr>
          <w:lang w:eastAsia="en-GB"/>
        </w:rPr>
      </w:pPr>
      <w:r w:rsidRPr="00C21B0D">
        <w:rPr>
          <w:lang w:eastAsia="en-GB"/>
        </w:rPr>
        <w:t>In recent years, the system of norms and values within which legitimacy is fulfilled has changed. Societal values have shifted towards environmental protection and low-emissions economic activity. The 2015 Paris Agreement, various national legislations and other institutional frameworks enshrined these principles. The shift accelerated when Swedish activist Greta Thunberg launched the global movement Fridays for Future - FFF - in late 2018. The movement brought climate change to the forefront of the political agenda. It sparked debates about the role of the individual, businesses' responsibilities, and the importance of the state to tackle climate change</w:t>
      </w:r>
      <w:r w:rsidR="0095569F" w:rsidRPr="0095569F">
        <w:rPr>
          <w:lang w:val="en-US" w:eastAsia="en-GB"/>
        </w:rPr>
        <w:t xml:space="preserve"> </w:t>
      </w:r>
      <w:r w:rsidR="0095569F">
        <w:rPr>
          <w:lang w:val="en-US" w:eastAsia="en-GB"/>
        </w:rPr>
        <w:fldChar w:fldCharType="begin"/>
      </w:r>
      <w:r w:rsidR="00334401">
        <w:rPr>
          <w:lang w:val="en-US" w:eastAsia="en-GB"/>
        </w:rPr>
        <w:instrText xml:space="preserve"> ADDIN ZOTERO_ITEM CSL_CITATION {"citationID":"IdoWCamx","properties":{"formattedCitation":"(Marquardt 2020)","plainCitation":"(Marquardt 2020)","noteIndex":0},"citationItems":[{"id":1755,"uris":["http://zotero.org/users/6955808/items/PE6DVVPV"],"uri":["http://zotero.org/users/6955808/items/PE6DVVPV"],"itemData":{"id":1755,"type":"article-journal","container-title":"frontiers in Communication","title":"Fridays for Future's Disruptive Potential: An Inconvenient Youth Between Moderate and Radical Ideas","author":[{"family":"Marquardt","given":"Jens"}],"issued":{"date-parts":[["2020",7]]}}}],"schema":"https://github.com/citation-style-language/schema/raw/master/csl-citation.json"} </w:instrText>
      </w:r>
      <w:r w:rsidR="0095569F">
        <w:rPr>
          <w:lang w:val="en-US" w:eastAsia="en-GB"/>
        </w:rPr>
        <w:fldChar w:fldCharType="separate"/>
      </w:r>
      <w:r w:rsidR="00334401">
        <w:rPr>
          <w:noProof/>
          <w:lang w:val="en-US" w:eastAsia="en-GB"/>
        </w:rPr>
        <w:t>(Marquardt 2020)</w:t>
      </w:r>
      <w:r w:rsidR="0095569F">
        <w:rPr>
          <w:lang w:val="en-US" w:eastAsia="en-GB"/>
        </w:rPr>
        <w:fldChar w:fldCharType="end"/>
      </w:r>
      <w:r w:rsidRPr="00C21B0D">
        <w:rPr>
          <w:lang w:eastAsia="en-GB"/>
        </w:rPr>
        <w:t>.</w:t>
      </w:r>
    </w:p>
    <w:p w14:paraId="5EA16A30" w14:textId="4048F5CD" w:rsidR="00C21B0D" w:rsidRPr="00C21B0D" w:rsidRDefault="00C21B0D" w:rsidP="00C21B0D">
      <w:pPr>
        <w:rPr>
          <w:lang w:eastAsia="en-GB"/>
        </w:rPr>
      </w:pPr>
      <w:r w:rsidRPr="00C21B0D">
        <w:rPr>
          <w:lang w:eastAsia="en-GB"/>
        </w:rPr>
        <w:t>From the perspective of Institutional Theory, such a change in societal values leads to external pressure and corresponding new demands on the legitimacy of firms. Suppose companies want to preserve or improve their recognition among stakeholders in such a situation. If so, they need to improve environmental legitimacy by taking measures that align the perception of their activity with society's shifting priorities</w:t>
      </w:r>
      <w:r w:rsidR="00334401" w:rsidRPr="00334401">
        <w:rPr>
          <w:lang w:val="en-US" w:eastAsia="en-GB"/>
        </w:rPr>
        <w:t xml:space="preserve"> </w:t>
      </w:r>
      <w:r w:rsidR="00334401">
        <w:rPr>
          <w:lang w:val="en-US" w:eastAsia="en-GB"/>
        </w:rPr>
        <w:fldChar w:fldCharType="begin"/>
      </w:r>
      <w:r w:rsidR="00334401">
        <w:rPr>
          <w:lang w:val="en-US" w:eastAsia="en-GB"/>
        </w:rPr>
        <w:instrText xml:space="preserve"> ADDIN ZOTERO_ITEM CSL_CITATION {"citationID":"ES54NsSg","properties":{"formattedCitation":"(Berrone, Fosfuri, and Gelabert 2017)","plainCitation":"(Berrone, Fosfuri, and Gelabert 2017)","noteIndex":0},"citationItems":[{"id":1753,"uris":["http://zotero.org/users/6955808/items/HPAX52TH"],"uri":["http://zotero.org/users/6955808/items/HPAX52TH"],"itemData":{"id":1753,"type":"article-journal","abstract":"Do firms gain environmental legitimacy when they conform to external expectations regarding the natural environment? Drawing on institutional logic and signaling theory, we investigate sources of heterogeneity in the impacts of environmental actions on environmental legitimacy. Longitudinal data (1997–2001) about 325 publicly traded U.S. firms in polluting industries support the notion that environmental actions help firms gain environmental legitimacy. However, some actions instead can harm this legitimacy if environmental performance deteriorates and the firm is subject to intense scrutiny from nongovernmental organizations. Thus, an important contribution of this research is to identify conditions under which greenwashing can backfire.","container-title":"Journal of Business Ethics","DOI":"10.1007/s10551-015-2816-9","ISSN":"1573-0697","issue":"2","journalAbbreviation":"Journal of Business Ethics","page":"363-379","title":"Does Greenwashing Pay Off? Understanding the Relationship Between Environmental Actions and Environmental Legitimacy","volume":"144","author":[{"family":"Berrone","given":"Pascual"},{"family":"Fosfuri","given":"Andrea"},{"family":"Gelabert","given":"Liliana"}],"issued":{"date-parts":[["2017",8,1]]}}}],"schema":"https://github.com/citation-style-language/schema/raw/master/csl-citation.json"} </w:instrText>
      </w:r>
      <w:r w:rsidR="00334401">
        <w:rPr>
          <w:lang w:val="en-US" w:eastAsia="en-GB"/>
        </w:rPr>
        <w:fldChar w:fldCharType="separate"/>
      </w:r>
      <w:r w:rsidR="00334401">
        <w:rPr>
          <w:noProof/>
          <w:lang w:val="en-US" w:eastAsia="en-GB"/>
        </w:rPr>
        <w:t>(Berrone, Fosfuri, and Gelabert 2017)</w:t>
      </w:r>
      <w:r w:rsidR="00334401">
        <w:rPr>
          <w:lang w:val="en-US" w:eastAsia="en-GB"/>
        </w:rPr>
        <w:fldChar w:fldCharType="end"/>
      </w:r>
      <w:r w:rsidRPr="00C21B0D">
        <w:rPr>
          <w:lang w:eastAsia="en-GB"/>
        </w:rPr>
        <w:t>.</w:t>
      </w:r>
    </w:p>
    <w:p w14:paraId="7173A075" w14:textId="66A255E0" w:rsidR="00C21B0D" w:rsidRPr="00C21B0D" w:rsidRDefault="00C21B0D" w:rsidP="00C21B0D">
      <w:pPr>
        <w:rPr>
          <w:lang w:eastAsia="en-GB"/>
        </w:rPr>
      </w:pPr>
      <w:r w:rsidRPr="00C21B0D">
        <w:rPr>
          <w:lang w:eastAsia="en-GB"/>
        </w:rPr>
        <w:t xml:space="preserve">According to </w:t>
      </w:r>
      <w:r w:rsidR="00334401">
        <w:rPr>
          <w:lang w:eastAsia="en-GB"/>
        </w:rPr>
        <w:fldChar w:fldCharType="begin"/>
      </w:r>
      <w:r w:rsidR="003D2C42">
        <w:rPr>
          <w:lang w:eastAsia="en-GB"/>
        </w:rPr>
        <w:instrText xml:space="preserve"> ADDIN ZOTERO_ITEM CSL_CITATION {"citationID":"NRx5b7yT","properties":{"formattedCitation":"(Alrazi, de Villiers, and van Staden 2015)","plainCitation":"(Alrazi, de Villiers, and van Staden 2015)","noteIndex":0},"citationItems":[{"id":1752,"uris":["http://zotero.org/users/6955808/items/32WHKLFW"],"uri":["http://zotero.org/users/6955808/items/32WHKLFW"],"itemData":{"id":1752,"type":"article-journal","abstract":"This paper identifies three conceptually distinct, but interrelated concepts regarding corporate environmental behaviour from the literature – environmental legitimacy, environmental accountability, and environmental proactivity – and shows how they can be integrated into a single framework. This is done in a context where prior studies in the literature do not relate these concepts to each other or place the concepts within a meaningful context, nor integrate them into a single framework. The framework demonstrates an organisational journey towards achieving legitimacy in environmental endeavours. Environmental legitimacy is conditional upon the public evaluation of corporate environmental performance and environmental reporting (environmental accountability), which in turn, requires organisations to invest in environmental management and accounting systems and stakeholder engagement (environmental proactivity). The paper identifies company, stakeholder and other characteristics that influence the constructs in the framework and also propose a research agenda based on this framework. Environmental performance constitutes the central concept in the framework, acknowledging that improved environmental performance promotes the ultimate goal of sustainability. The framework suggests that the judicious management of environmental performance and reporting, the two components of environmental accountability, results in environmental legitimacy. Furthermore, environmental accountability can be enhanced by environmental proactivity, a concept comprising environmental management and environmental accounting, as well as stakeholder engagement. This synthesis of the factors that influence and contribute to environmental performance is the framework's main contribution.","container-title":"Journal of Cleaner Production","DOI":"https://doi.org/10.1016/j.jclepro.2015.05.022","ISSN":"0959-6526","page":"44-57","title":"A comprehensive literature review on, and the construction of a framework for, environmental legitimacy, accountability and proactivity","volume":"102","author":[{"family":"Alrazi","given":"Bakhtiar"},{"family":"Villiers","given":"Charl","non-dropping-particle":"de"},{"family":"Staden","given":"Chris J.","non-dropping-particle":"van"}],"issued":{"date-parts":[["2015"]]}}}],"schema":"https://github.com/citation-style-language/schema/raw/master/csl-citation.json"} </w:instrText>
      </w:r>
      <w:r w:rsidR="00334401">
        <w:rPr>
          <w:lang w:eastAsia="en-GB"/>
        </w:rPr>
        <w:fldChar w:fldCharType="separate"/>
      </w:r>
      <w:r w:rsidR="003D2C42">
        <w:rPr>
          <w:noProof/>
          <w:lang w:eastAsia="en-GB"/>
        </w:rPr>
        <w:t>(Alrazi, de Villiers, and van Staden 2015)</w:t>
      </w:r>
      <w:r w:rsidR="00334401">
        <w:rPr>
          <w:lang w:eastAsia="en-GB"/>
        </w:rPr>
        <w:fldChar w:fldCharType="end"/>
      </w:r>
      <w:r w:rsidRPr="00C21B0D">
        <w:rPr>
          <w:lang w:eastAsia="en-GB"/>
        </w:rPr>
        <w:t>, "environmental legitimacy is conditional upon the public evaluation of corporate environmental performance and environmental reporting." Thus environmental legitimacy is only indirectly related to the actual environmental performance of the company. In between is the influenceable public evaluation. Legitimacy is, therefore, also achievable when the public positively re-evaluates a company even though its true impacts did not change or only changed marginally</w:t>
      </w:r>
      <w:r w:rsidR="003D2C42" w:rsidRPr="003D2C42">
        <w:rPr>
          <w:lang w:val="en-US" w:eastAsia="en-GB"/>
        </w:rPr>
        <w:t xml:space="preserve"> </w:t>
      </w:r>
      <w:r w:rsidR="003D2C42">
        <w:rPr>
          <w:lang w:val="en-US" w:eastAsia="en-GB"/>
        </w:rPr>
        <w:fldChar w:fldCharType="begin"/>
      </w:r>
      <w:r w:rsidR="008A5FE4">
        <w:rPr>
          <w:lang w:val="en-US" w:eastAsia="en-GB"/>
        </w:rPr>
        <w:instrText xml:space="preserve"> ADDIN ZOTERO_ITEM CSL_CITATION {"citationID":"TilILteZ","properties":{"formattedCitation":"(Berrone, Gelabert, and Fosfuri 2009)","plainCitation":"(Berrone, Gelabert, and Fosfuri 2009)","noteIndex":0},"citationItems":[{"id":1757,"uris":["http://zotero.org/users/6955808/items/49IYTWZZ"],"uri":["http://zotero.org/users/6955808/items/49IYTWZZ"],"itemData":{"id":1757,"type":"article-journal","container-title":"IESE Business School","title":"The Impact of Symbolic and Substantive Actions on Environmental Legitimacy","author":[{"family":"Berrone","given":"Pascual"},{"family":"Gelabert","given":"Liliana"},{"family":"Fosfuri","given":"Andrea"}],"issued":{"date-parts":[["2009",2]]}}}],"schema":"https://github.com/citation-style-language/schema/raw/master/csl-citation.json"} </w:instrText>
      </w:r>
      <w:r w:rsidR="003D2C42">
        <w:rPr>
          <w:lang w:val="en-US" w:eastAsia="en-GB"/>
        </w:rPr>
        <w:fldChar w:fldCharType="separate"/>
      </w:r>
      <w:r w:rsidR="008A5FE4">
        <w:rPr>
          <w:noProof/>
          <w:lang w:val="en-US" w:eastAsia="en-GB"/>
        </w:rPr>
        <w:t>(Berrone, Gelabert, and Fosfuri 2009)</w:t>
      </w:r>
      <w:r w:rsidR="003D2C42">
        <w:rPr>
          <w:lang w:val="en-US" w:eastAsia="en-GB"/>
        </w:rPr>
        <w:fldChar w:fldCharType="end"/>
      </w:r>
      <w:r w:rsidRPr="00C21B0D">
        <w:rPr>
          <w:lang w:eastAsia="en-GB"/>
        </w:rPr>
        <w:t>.</w:t>
      </w:r>
      <w:r w:rsidR="003D2C42" w:rsidRPr="003D2C42">
        <w:rPr>
          <w:lang w:val="en-US" w:eastAsia="en-GB"/>
        </w:rPr>
        <w:t xml:space="preserve"> </w:t>
      </w:r>
      <w:r w:rsidRPr="00C21B0D">
        <w:rPr>
          <w:lang w:eastAsia="en-GB"/>
        </w:rPr>
        <w:t>Institutional theory suggests that "the appearance rather than the fact of conformity is often presumed to be sufficient for the attainment of legitimacy</w:t>
      </w:r>
      <w:r w:rsidR="008A5FE4" w:rsidRPr="008A5FE4">
        <w:rPr>
          <w:lang w:val="en-US" w:eastAsia="en-GB"/>
        </w:rPr>
        <w:t xml:space="preserve"> </w:t>
      </w:r>
      <w:r w:rsidR="008A5FE4">
        <w:rPr>
          <w:lang w:val="en-US" w:eastAsia="en-GB"/>
        </w:rPr>
        <w:fldChar w:fldCharType="begin"/>
      </w:r>
      <w:r w:rsidR="008A5FE4">
        <w:rPr>
          <w:lang w:val="en-US" w:eastAsia="en-GB"/>
        </w:rPr>
        <w:instrText xml:space="preserve"> ADDIN ZOTERO_ITEM CSL_CITATION {"citationID":"dc0p5TfK","properties":{"formattedCitation":"(Oliver 1991)","plainCitation":"(Oliver 1991)","noteIndex":0},"citationItems":[{"id":1758,"uris":["http://zotero.org/users/6955808/items/RLS57L2F"],"uri":["http://zotero.org/users/6955808/items/RLS57L2F"],"itemData":{"id":1758,"type":"article-journal","abstract":"This article applies the convergent insights of institutional and resource dependence perspectives to the prediction of strategic responses to institutional processes. The article offers a typology of strategic responses that vary in active organizational resistance from passive conformity to proactive manipulation. Ten institutional factors are hypothesized to predict the occurrence of the alternative proposed strategies and the degree of organizational conformity or resistance to institutional pressures.","container-title":"Academy of Management Review","DOI":"10.5465/amr.1991.4279002","issue":"1","note":"tex.eprint: https://doi.org/10.5465/amr.1991.4279002","page":"145-179","title":"STRATEGIC RESPONSES TO INSTITUTIONAL PROCESSES","volume":"16","author":[{"family":"Oliver","given":"Christine"}],"issued":{"date-parts":[["1991"]]}}}],"schema":"https://github.com/citation-style-language/schema/raw/master/csl-citation.json"} </w:instrText>
      </w:r>
      <w:r w:rsidR="008A5FE4">
        <w:rPr>
          <w:lang w:val="en-US" w:eastAsia="en-GB"/>
        </w:rPr>
        <w:fldChar w:fldCharType="separate"/>
      </w:r>
      <w:r w:rsidR="008A5FE4">
        <w:rPr>
          <w:noProof/>
          <w:lang w:val="en-US" w:eastAsia="en-GB"/>
        </w:rPr>
        <w:t>(Oliver 1991)</w:t>
      </w:r>
      <w:r w:rsidR="008A5FE4">
        <w:rPr>
          <w:lang w:val="en-US" w:eastAsia="en-GB"/>
        </w:rPr>
        <w:fldChar w:fldCharType="end"/>
      </w:r>
      <w:r w:rsidRPr="00C21B0D">
        <w:rPr>
          <w:lang w:eastAsia="en-GB"/>
        </w:rPr>
        <w:t>." When a company deliberately tries to bring about such an unsubstantiated change in public or consumer perception, it is greenwashing</w:t>
      </w:r>
      <w:r w:rsidR="008A5FE4" w:rsidRPr="008A5FE4">
        <w:rPr>
          <w:lang w:val="en-US" w:eastAsia="en-GB"/>
        </w:rPr>
        <w:t xml:space="preserve"> </w:t>
      </w:r>
      <w:r w:rsidR="008A5FE4">
        <w:rPr>
          <w:lang w:val="en-US" w:eastAsia="en-GB"/>
        </w:rPr>
        <w:fldChar w:fldCharType="begin"/>
      </w:r>
      <w:r w:rsidR="00331774">
        <w:rPr>
          <w:lang w:val="en-US" w:eastAsia="en-GB"/>
        </w:rPr>
        <w:instrText xml:space="preserve"> ADDIN ZOTERO_ITEM CSL_CITATION {"citationID":"NhkXBCKp","properties":{"formattedCitation":"(Lyon and Maxwell 2011)","plainCitation":"(Lyon and Maxwell 2011)","noteIndex":0},"citationItems":[{"id":10,"uris":["http://zotero.org/users/6955808/items/FNHRPYCP"],"uri":["http://zotero.org/users/6955808/items/FNHRPYCP"],"itemData":{"id":10,"type":"article-journal","container-title":"Journal of Economics &amp; Management Strategy","issue":"1","page":"3 - 41","title":"Greenwash: Corporate Environmental Disclosure under Threat of Audit","volume":"20","author":[{"family":"Lyon","given":"Thomas P."},{"family":"Maxwell","given":"John W."}],"issued":{"date-parts":[["2011"]]}}}],"schema":"https://github.com/citation-style-language/schema/raw/master/csl-citation.json"} </w:instrText>
      </w:r>
      <w:r w:rsidR="008A5FE4">
        <w:rPr>
          <w:lang w:val="en-US" w:eastAsia="en-GB"/>
        </w:rPr>
        <w:fldChar w:fldCharType="separate"/>
      </w:r>
      <w:r w:rsidR="00331774">
        <w:rPr>
          <w:noProof/>
          <w:lang w:val="en-US" w:eastAsia="en-GB"/>
        </w:rPr>
        <w:t xml:space="preserve">(Lyon and </w:t>
      </w:r>
      <w:r w:rsidR="00331774">
        <w:rPr>
          <w:noProof/>
          <w:lang w:val="en-US" w:eastAsia="en-GB"/>
        </w:rPr>
        <w:lastRenderedPageBreak/>
        <w:t>Maxwell 2011)</w:t>
      </w:r>
      <w:r w:rsidR="008A5FE4">
        <w:rPr>
          <w:lang w:val="en-US" w:eastAsia="en-GB"/>
        </w:rPr>
        <w:fldChar w:fldCharType="end"/>
      </w:r>
      <w:r w:rsidRPr="00C21B0D">
        <w:rPr>
          <w:lang w:eastAsia="en-GB"/>
        </w:rPr>
        <w:t>. Greenwashing is, at its core, a fundamental conflict between the information a firm communicates and its actual behaviour</w:t>
      </w:r>
      <w:r w:rsidR="00331774" w:rsidRPr="00331774">
        <w:rPr>
          <w:lang w:val="en-US" w:eastAsia="en-GB"/>
        </w:rPr>
        <w:t xml:space="preserve"> </w:t>
      </w:r>
      <w:r w:rsidR="00331774">
        <w:rPr>
          <w:lang w:val="en-US" w:eastAsia="en-GB"/>
        </w:rPr>
        <w:fldChar w:fldCharType="begin"/>
      </w:r>
      <w:r w:rsidR="00331774">
        <w:rPr>
          <w:lang w:val="en-US" w:eastAsia="en-GB"/>
        </w:rPr>
        <w:instrText xml:space="preserve"> ADDIN ZOTERO_ITEM CSL_CITATION {"citationID":"eHEDiztI","properties":{"formattedCitation":"(Kurpierz and Smith 2020)","plainCitation":"(Kurpierz and Smith 2020)","noteIndex":0},"citationItems":[{"id":1679,"uris":["http://zotero.org/users/6955808/items/NTXTWTCV"],"uri":["http://zotero.org/users/6955808/items/NTXTWTCV"],"itemData":{"id":1679,"type":"article-journal","abstract":"Purpose The purpose of this paper is to show a significant overlap in the models accounting research uses for fraud and the models other research disciplines use for greenwashing, and show how researchers and policymakers interested in the application of effective sustainability policy can draw from fraud accounting literature to better understand, and therefore, combat greenwashing. This is illustrated by showing multi-actor information-asymmetry models from other branches of accounting literature and synthesizing them with the fraud triangle model to suggest new avenues for reducing greenwashing and strengthening corporate social responsibility (CSR). Design/methodology/approach This paper reviews the current literature surrounding the greenwashing aspect of corporate camouflage compares the legal and technical definitions of fraud and synthesizes a new variant fraud triangle that more usefully describes greenwashing. Findings This paper is able to show that other areas of accounting research in North America have already tackled similar systems of multiple actors in an information-asymmetric environment and that a recurring trait is the emergence of a more robust reporting system. CSR reporting is currently in the process of emerging and could develop more swiftly by copying extant fraud-fighting tools. This is particularly salient given the increasing amount of liability legal regimes are giving to both sustainability activities and sustainability reporting from firms, as evidenced in both guidelines and scandals over the past decade. Research limitations/implications Sustainability reporting is not unique in comprising a large number of interrelated entities with non-financial information asymmetry between actors. Previous researchers have encountered similar situations in government accounting and public administration and developed network models to study these relationships as a result. In government accounting, this led to the development both of better diagnostic tools for further research and better models for local governments to use to prevent fraud and malfeasance. This paper suggests that using such research methods in the area of CSR will allow for the development of similarly-useful tools and models. Practical implications Visualizing greenwashing as a form of fraud allows policymakers to use tools from the fraud-fighting literature to improve CSR reporting and produce a more robust regime in the future. As governments increasingly seek to respond effectively to material misstatements with an intent to deceive in sustainability reports, understanding the underlying information asymmetry as it is found in other private-public interfaces is critical. Similarly, researchers can analyze CSR reporting through the lens of fraud researchers to gain novel insights into how information asymmetry in CSR reporting works. Social implications Greenwashing is not traditionally seen as a form of fraudulent reporting, even though it often meets the same technical test used to determine fraudulent reporting. The realization that the two are structurally similar allows the authors to better understand how CSR reporting works and how CSR reporting can be falsified. By understanding the latter, governments, firms and non-governmental organizations (NGOs) can develop tools to prevent CSR reporting from being falsified. Originality/value This paper suggests a new suite of tools with which to study greenwashing, and with which to fight greenwashing in a sustainability accounting context.","container-title":"SUSTAINABILITY ACCOUNTING MANAGEMENT AND POLICY JOURNAL","DOI":"10.1108/SAMPJ-10-2018-0272","ISSN":"2040-8021","issue":"6, SI","language":"English","note":"publisher-place: HOWARD HOUSE, WAGON LANE, BINGLEY BD16 1WA, W YORKSHIRE, ENGLAND\npublisher: EMERALD GROUP PUBLISHING LTD\ntype: Article","page":"1075-1093","title":"The greenwashing triangle: adapting tools from fraud to improve CSR reporting","volume":"11","author":[{"family":"Kurpierz","given":"John Richard"},{"family":"Smith","given":"Ken"}],"issued":{"date-parts":[["2020",10,21]]}}}],"schema":"https://github.com/citation-style-language/schema/raw/master/csl-citation.json"} </w:instrText>
      </w:r>
      <w:r w:rsidR="00331774">
        <w:rPr>
          <w:lang w:val="en-US" w:eastAsia="en-GB"/>
        </w:rPr>
        <w:fldChar w:fldCharType="separate"/>
      </w:r>
      <w:r w:rsidR="00331774">
        <w:rPr>
          <w:noProof/>
          <w:lang w:val="en-US" w:eastAsia="en-GB"/>
        </w:rPr>
        <w:t>(Kurpierz and Smith 2020)</w:t>
      </w:r>
      <w:r w:rsidR="00331774">
        <w:rPr>
          <w:lang w:val="en-US" w:eastAsia="en-GB"/>
        </w:rPr>
        <w:fldChar w:fldCharType="end"/>
      </w:r>
      <w:r w:rsidRPr="00C21B0D">
        <w:rPr>
          <w:lang w:eastAsia="en-GB"/>
        </w:rPr>
        <w:t>.</w:t>
      </w:r>
    </w:p>
    <w:p w14:paraId="7BDF8D5B" w14:textId="18AAE10F" w:rsidR="00C21B0D" w:rsidRPr="00C21B0D" w:rsidRDefault="00C21B0D" w:rsidP="00C21B0D">
      <w:pPr>
        <w:rPr>
          <w:lang w:eastAsia="en-GB"/>
        </w:rPr>
      </w:pPr>
      <w:r w:rsidRPr="00C21B0D">
        <w:rPr>
          <w:lang w:eastAsia="en-GB"/>
        </w:rPr>
        <w:t>Whether increased legitimacy is based on actual underlying changes or just a product of deception, disclosure and communication are crucial for legitimacy building</w:t>
      </w:r>
      <w:r w:rsidR="00431118" w:rsidRPr="00431118">
        <w:rPr>
          <w:lang w:val="en-US" w:eastAsia="en-GB"/>
        </w:rPr>
        <w:t xml:space="preserve"> </w:t>
      </w:r>
      <w:r w:rsidR="00431118">
        <w:rPr>
          <w:lang w:val="en-US" w:eastAsia="en-GB"/>
        </w:rPr>
        <w:fldChar w:fldCharType="begin"/>
      </w:r>
      <w:r w:rsidR="00431118">
        <w:rPr>
          <w:lang w:val="en-US" w:eastAsia="en-GB"/>
        </w:rPr>
        <w:instrText xml:space="preserve"> ADDIN ZOTERO_ITEM CSL_CITATION {"citationID":"7wekNxga","properties":{"formattedCitation":"(Prado-Roman, Diez-Martin, and Blanco-Gonzalez 2020)","plainCitation":"(Prado-Roman, Diez-Martin, and Blanco-Gonzalez 2020)","noteIndex":0},"citationItems":[{"id":1754,"uris":["http://zotero.org/users/6955808/items/AF3J9TI7"],"uri":["http://zotero.org/users/6955808/items/AF3J9TI7"],"itemData":{"id":1754,"type":"article-journal","container-title":"Revista Brasileira de Gestão de Negócios","title":"The effect of communication on the legitimacy and performance of organizations","author":[{"family":"Prado-Roman","given":"Camilo"},{"family":"Diez-Martin","given":"Francisco"},{"family":"Blanco-Gonzalez","given":"Alicia"}],"issued":{"date-parts":[["2020",9]]}}}],"schema":"https://github.com/citation-style-language/schema/raw/master/csl-citation.json"} </w:instrText>
      </w:r>
      <w:r w:rsidR="00431118">
        <w:rPr>
          <w:lang w:val="en-US" w:eastAsia="en-GB"/>
        </w:rPr>
        <w:fldChar w:fldCharType="separate"/>
      </w:r>
      <w:r w:rsidR="00431118">
        <w:rPr>
          <w:noProof/>
          <w:lang w:val="en-US" w:eastAsia="en-GB"/>
        </w:rPr>
        <w:t>(Prado-Roman, Diez-Martin, and Blanco-Gonzalez 2020)</w:t>
      </w:r>
      <w:r w:rsidR="00431118">
        <w:rPr>
          <w:lang w:val="en-US" w:eastAsia="en-GB"/>
        </w:rPr>
        <w:fldChar w:fldCharType="end"/>
      </w:r>
      <w:r w:rsidRPr="00C21B0D">
        <w:rPr>
          <w:lang w:eastAsia="en-GB"/>
        </w:rPr>
        <w:t>.</w:t>
      </w:r>
      <w:r w:rsidR="00431118" w:rsidRPr="00431118">
        <w:rPr>
          <w:lang w:val="en-US" w:eastAsia="en-GB"/>
        </w:rPr>
        <w:t xml:space="preserve"> </w:t>
      </w:r>
      <w:r w:rsidRPr="00C21B0D">
        <w:rPr>
          <w:lang w:eastAsia="en-GB"/>
        </w:rPr>
        <w:t>Communication is the fundamental vehicle that brings mutual sense-making and sense-giving amongst stakeholders. It is an essential instrument for corporations to advance legitimacy. Social media are particularly well-suited channels for communication because they enhance stakeholder engagement, enable a more direct dialogue and democratise access to information. Communication on social media is a fast way of managing public expectations</w:t>
      </w:r>
      <w:r w:rsidR="00431118" w:rsidRPr="00431118">
        <w:rPr>
          <w:lang w:val="en-US" w:eastAsia="en-GB"/>
        </w:rPr>
        <w:t xml:space="preserve"> </w:t>
      </w:r>
      <w:r w:rsidR="00431118">
        <w:rPr>
          <w:lang w:val="en-US" w:eastAsia="en-GB"/>
        </w:rPr>
        <w:fldChar w:fldCharType="begin"/>
      </w:r>
      <w:r w:rsidR="00742E1A">
        <w:rPr>
          <w:lang w:val="en-US" w:eastAsia="en-GB"/>
        </w:rPr>
        <w:instrText xml:space="preserve"> ADDIN ZOTERO_ITEM CSL_CITATION {"citationID":"BYOPRjun","properties":{"formattedCitation":"(Nwagbara and Reid 2013)","plainCitation":"(Nwagbara and Reid 2013)","noteIndex":0},"citationItems":[{"id":1756,"uris":["http://zotero.org/users/6955808/items/AMHK6AVQ"],"uri":["http://zotero.org/users/6955808/items/AMHK6AVQ"],"itemData":{"id":1756,"type":"article-journal","container-title":"Review of International Comparative Management","issue":"3","title":"Corporate Social Responsibility Communication in the Age of New Media:  Towards the Logic of Sustainability Communication","URL":"https://www.ceeol.com/search/viewpdf?id=746635","volume":"14","author":[{"family":"Nwagbara","given":"Uzoechi"},{"family":"Reid","given":"Patrick"}],"issued":{"date-parts":[["2013",7]]}}}],"schema":"https://github.com/citation-style-language/schema/raw/master/csl-citation.json"} </w:instrText>
      </w:r>
      <w:r w:rsidR="00431118">
        <w:rPr>
          <w:lang w:val="en-US" w:eastAsia="en-GB"/>
        </w:rPr>
        <w:fldChar w:fldCharType="separate"/>
      </w:r>
      <w:r w:rsidR="00742E1A">
        <w:rPr>
          <w:noProof/>
          <w:lang w:val="en-US" w:eastAsia="en-GB"/>
        </w:rPr>
        <w:t>(Nwagbara and Reid 2013)</w:t>
      </w:r>
      <w:r w:rsidR="00431118">
        <w:rPr>
          <w:lang w:val="en-US" w:eastAsia="en-GB"/>
        </w:rPr>
        <w:fldChar w:fldCharType="end"/>
      </w:r>
      <w:r w:rsidRPr="00C21B0D">
        <w:rPr>
          <w:lang w:eastAsia="en-GB"/>
        </w:rPr>
        <w:t>.</w:t>
      </w:r>
    </w:p>
    <w:p w14:paraId="4A3EC8C7" w14:textId="77777777" w:rsidR="00C21B0D" w:rsidRDefault="00C21B0D" w:rsidP="00C21B0D">
      <w:pPr>
        <w:rPr>
          <w:lang w:eastAsia="en-GB"/>
        </w:rPr>
      </w:pPr>
      <w:r w:rsidRPr="00C21B0D">
        <w:rPr>
          <w:lang w:eastAsia="en-GB"/>
        </w:rPr>
        <w:t>When FFF protests grew in size and frequency in 2018 and 2019, how did Europe's largest companies' communication change? Did they communicate more about sustainability? Did communication become more subjective, which would indicate greenwashing?</w:t>
      </w:r>
    </w:p>
    <w:p w14:paraId="6C4A6164" w14:textId="5C3EEC8D" w:rsidR="00924CAC" w:rsidRPr="00924CAC" w:rsidRDefault="00924CAC" w:rsidP="00C21B0D">
      <w:pPr>
        <w:rPr>
          <w:lang w:val="en-US" w:eastAsia="en-GB"/>
        </w:rPr>
      </w:pPr>
      <w:r w:rsidRPr="00924CAC">
        <w:rPr>
          <w:lang w:val="en-US" w:eastAsia="en-GB"/>
        </w:rPr>
        <w:t>Missing: Contribution of this paper</w:t>
      </w:r>
      <w:r>
        <w:rPr>
          <w:lang w:val="en-US" w:eastAsia="en-GB"/>
        </w:rPr>
        <w:t xml:space="preserve"> and </w:t>
      </w:r>
      <w:r w:rsidR="00C914B3">
        <w:rPr>
          <w:lang w:val="en-US" w:eastAsia="en-GB"/>
        </w:rPr>
        <w:t>setting the agenda.</w:t>
      </w:r>
    </w:p>
    <w:p w14:paraId="49CFEA82" w14:textId="77777777" w:rsidR="005C2D06" w:rsidRPr="00C21B0D" w:rsidRDefault="005C2D06">
      <w:pPr>
        <w:spacing w:after="0" w:line="240" w:lineRule="auto"/>
        <w:rPr>
          <w:lang w:val="en-US"/>
        </w:rPr>
      </w:pPr>
      <w:r w:rsidRPr="00C21B0D">
        <w:rPr>
          <w:lang w:val="en-US"/>
        </w:rPr>
        <w:br w:type="page"/>
      </w:r>
    </w:p>
    <w:p w14:paraId="7138C060" w14:textId="1E3F71B7" w:rsidR="00D76D5A" w:rsidRDefault="00D76D5A" w:rsidP="00B55603">
      <w:pPr>
        <w:pStyle w:val="Heading1"/>
      </w:pPr>
      <w:bookmarkStart w:id="6" w:name="_Toc96348115"/>
      <w:r w:rsidRPr="00B55603">
        <w:lastRenderedPageBreak/>
        <w:t>Background</w:t>
      </w:r>
      <w:bookmarkEnd w:id="6"/>
    </w:p>
    <w:p w14:paraId="003EA75C" w14:textId="7F5FDD59" w:rsidR="0040358A" w:rsidRDefault="0040358A" w:rsidP="00FE6E90">
      <w:pPr>
        <w:pStyle w:val="Heading2"/>
        <w:rPr>
          <w:lang w:val="de-CH"/>
        </w:rPr>
      </w:pPr>
      <w:proofErr w:type="spellStart"/>
      <w:r>
        <w:rPr>
          <w:lang w:val="de-CH"/>
        </w:rPr>
        <w:t>Legitimacy</w:t>
      </w:r>
      <w:proofErr w:type="spellEnd"/>
      <w:r>
        <w:rPr>
          <w:lang w:val="de-CH"/>
        </w:rPr>
        <w:t xml:space="preserve"> </w:t>
      </w:r>
      <w:proofErr w:type="spellStart"/>
      <w:r w:rsidR="00FE6E90">
        <w:rPr>
          <w:lang w:val="de-CH"/>
        </w:rPr>
        <w:t>theory</w:t>
      </w:r>
      <w:proofErr w:type="spellEnd"/>
    </w:p>
    <w:p w14:paraId="52B3CEF6" w14:textId="1B24777C" w:rsidR="006127D8" w:rsidRDefault="006127D8" w:rsidP="006127D8">
      <w:pPr>
        <w:pStyle w:val="Heading2"/>
        <w:rPr>
          <w:lang w:val="de-CH"/>
        </w:rPr>
      </w:pPr>
      <w:r>
        <w:rPr>
          <w:lang w:val="de-CH"/>
        </w:rPr>
        <w:t xml:space="preserve">Major </w:t>
      </w:r>
      <w:proofErr w:type="spellStart"/>
      <w:r>
        <w:rPr>
          <w:lang w:val="de-CH"/>
        </w:rPr>
        <w:t>social</w:t>
      </w:r>
      <w:proofErr w:type="spellEnd"/>
      <w:r>
        <w:rPr>
          <w:lang w:val="de-CH"/>
        </w:rPr>
        <w:t xml:space="preserve"> </w:t>
      </w:r>
      <w:proofErr w:type="spellStart"/>
      <w:r>
        <w:rPr>
          <w:lang w:val="de-CH"/>
        </w:rPr>
        <w:t>incidents</w:t>
      </w:r>
      <w:proofErr w:type="spellEnd"/>
    </w:p>
    <w:p w14:paraId="27E7282B" w14:textId="038B2D5B" w:rsidR="00F57977" w:rsidRDefault="00F57977" w:rsidP="00F57977">
      <w:pPr>
        <w:pStyle w:val="Heading3"/>
        <w:rPr>
          <w:lang w:val="de-CH"/>
        </w:rPr>
      </w:pPr>
      <w:r>
        <w:rPr>
          <w:lang w:val="de-CH"/>
        </w:rPr>
        <w:t xml:space="preserve">Greta </w:t>
      </w:r>
      <w:proofErr w:type="spellStart"/>
      <w:r>
        <w:rPr>
          <w:lang w:val="de-CH"/>
        </w:rPr>
        <w:t>Thunberg</w:t>
      </w:r>
      <w:proofErr w:type="spellEnd"/>
    </w:p>
    <w:p w14:paraId="78380977" w14:textId="3A4DEAD9" w:rsidR="00F57977" w:rsidRDefault="00F57977" w:rsidP="00F57977">
      <w:pPr>
        <w:pStyle w:val="Heading3"/>
        <w:rPr>
          <w:lang w:val="de-CH"/>
        </w:rPr>
      </w:pPr>
      <w:proofErr w:type="spellStart"/>
      <w:r>
        <w:rPr>
          <w:lang w:val="de-CH"/>
        </w:rPr>
        <w:t>Fridays</w:t>
      </w:r>
      <w:proofErr w:type="spellEnd"/>
      <w:r>
        <w:rPr>
          <w:lang w:val="de-CH"/>
        </w:rPr>
        <w:t xml:space="preserve"> </w:t>
      </w:r>
      <w:proofErr w:type="spellStart"/>
      <w:r>
        <w:rPr>
          <w:lang w:val="de-CH"/>
        </w:rPr>
        <w:t>for</w:t>
      </w:r>
      <w:proofErr w:type="spellEnd"/>
      <w:r>
        <w:rPr>
          <w:lang w:val="de-CH"/>
        </w:rPr>
        <w:t xml:space="preserve"> Future</w:t>
      </w:r>
    </w:p>
    <w:p w14:paraId="3A82514F" w14:textId="7819D458" w:rsidR="00B25A44" w:rsidRDefault="00B25A44" w:rsidP="00B25A44">
      <w:pPr>
        <w:pStyle w:val="Heading3"/>
        <w:rPr>
          <w:lang w:val="de-CH"/>
        </w:rPr>
      </w:pPr>
      <w:proofErr w:type="spellStart"/>
      <w:r>
        <w:rPr>
          <w:lang w:val="de-CH"/>
        </w:rPr>
        <w:t>Spatial</w:t>
      </w:r>
      <w:proofErr w:type="spellEnd"/>
      <w:r>
        <w:rPr>
          <w:lang w:val="de-CH"/>
        </w:rPr>
        <w:t xml:space="preserve"> </w:t>
      </w:r>
      <w:proofErr w:type="spellStart"/>
      <w:r>
        <w:rPr>
          <w:lang w:val="de-CH"/>
        </w:rPr>
        <w:t>proximity</w:t>
      </w:r>
      <w:proofErr w:type="spellEnd"/>
    </w:p>
    <w:p w14:paraId="5D159540" w14:textId="45514A21" w:rsidR="00B25A44" w:rsidRPr="00AA0132" w:rsidRDefault="00AA0132" w:rsidP="00AA0132">
      <w:pPr>
        <w:pStyle w:val="Heading2"/>
        <w:rPr>
          <w:lang w:val="en-US"/>
        </w:rPr>
      </w:pPr>
      <w:r>
        <w:rPr>
          <w:lang w:val="en-US"/>
        </w:rPr>
        <w:t>Impression and corporate image management</w:t>
      </w:r>
    </w:p>
    <w:p w14:paraId="6AFF86F7" w14:textId="4A5C5C6D" w:rsidR="003D281B" w:rsidRPr="003D281B" w:rsidRDefault="003D281B" w:rsidP="003D281B">
      <w:pPr>
        <w:rPr>
          <w:lang w:eastAsia="en-GB"/>
        </w:rPr>
      </w:pPr>
      <w:r>
        <w:rPr>
          <w:lang w:eastAsia="en-GB"/>
        </w:rPr>
        <w:fldChar w:fldCharType="begin"/>
      </w:r>
      <w:r>
        <w:rPr>
          <w:lang w:eastAsia="en-GB"/>
        </w:rPr>
        <w:instrText xml:space="preserve"> ADDIN ZOTERO_TEMP </w:instrText>
      </w:r>
      <w:r>
        <w:rPr>
          <w:lang w:eastAsia="en-GB"/>
        </w:rPr>
        <w:fldChar w:fldCharType="separate"/>
      </w:r>
      <w:r w:rsidR="004863AF" w:rsidRPr="004863AF">
        <w:rPr>
          <w:rFonts w:cs="Times New Roman"/>
          <w:u w:val="dash"/>
          <w:lang w:val="en-GB"/>
        </w:rPr>
        <w:t>(</w:t>
      </w:r>
      <w:proofErr w:type="spellStart"/>
      <w:r w:rsidR="004863AF" w:rsidRPr="004863AF">
        <w:rPr>
          <w:rFonts w:cs="Times New Roman"/>
          <w:u w:val="dash"/>
          <w:lang w:val="en-GB"/>
        </w:rPr>
        <w:t>Hooghiemstra</w:t>
      </w:r>
      <w:proofErr w:type="spellEnd"/>
      <w:r w:rsidR="004863AF" w:rsidRPr="004863AF">
        <w:rPr>
          <w:rFonts w:cs="Times New Roman"/>
          <w:u w:val="dash"/>
          <w:lang w:val="en-GB"/>
        </w:rPr>
        <w:t xml:space="preserve"> 2000)</w:t>
      </w:r>
      <w:r>
        <w:rPr>
          <w:lang w:eastAsia="en-GB"/>
        </w:rPr>
        <w:fldChar w:fldCharType="end"/>
      </w:r>
      <w:r w:rsidR="004863AF" w:rsidRPr="004863AF">
        <w:rPr>
          <w:lang w:val="en-US" w:eastAsia="en-GB"/>
        </w:rPr>
        <w:t xml:space="preserve"> </w:t>
      </w:r>
      <w:r w:rsidRPr="003D281B">
        <w:rPr>
          <w:lang w:eastAsia="en-GB"/>
        </w:rPr>
        <w:t>showed that companies whose legitimacy was threatened by social upheavals or incidents reacted by increasing their coverage of environmental issues in annual reports. Increasing coverage of environmental issues in such a social context is a kind of impression management. Firms communicate more on a given "hot" topic to influence public opinion and to prevent or contain damage to their general perception, which can indeed benefit legitimacy, at least in the short term</w:t>
      </w:r>
      <w:r w:rsidR="004863AF" w:rsidRPr="004863AF">
        <w:rPr>
          <w:lang w:val="en-US" w:eastAsia="en-GB"/>
        </w:rPr>
        <w:t xml:space="preserve"> </w:t>
      </w:r>
      <w:r w:rsidR="003D6973">
        <w:rPr>
          <w:lang w:val="en-US" w:eastAsia="en-GB"/>
        </w:rPr>
        <w:fldChar w:fldCharType="begin"/>
      </w:r>
      <w:r w:rsidR="00781F46">
        <w:rPr>
          <w:lang w:val="en-US" w:eastAsia="en-GB"/>
        </w:rPr>
        <w:instrText xml:space="preserve"> ADDIN ZOTERO_ITEM CSL_CITATION {"citationID":"aseuhemphm","properties":{"formattedCitation":"(Berrone, Gelabert, and Fosfuri 2009)","plainCitation":"(Berrone, Gelabert, and Fosfuri 2009)","noteIndex":0},"citationItems":[{"id":1757,"uris":["http://zotero.org/users/6955808/items/49IYTWZZ"],"uri":["http://zotero.org/users/6955808/items/49IYTWZZ"],"itemData":{"id":1757,"type":"article-journal","container-title":"IESE Business School","title":"The Impact of Symbolic and Substantive Actions on Environmental Legitimacy","author":[{"family":"Berrone","given":"Pascual"},{"family":"Gelabert","given":"Liliana"},{"family":"Fosfuri","given":"Andrea"}],"issued":{"date-parts":[["2009",2]]}}}],"schema":"https://github.com/citation-style-language/schema/raw/master/csl-citation.json"} </w:instrText>
      </w:r>
      <w:r w:rsidR="003D6973">
        <w:rPr>
          <w:lang w:val="en-US" w:eastAsia="en-GB"/>
        </w:rPr>
        <w:fldChar w:fldCharType="separate"/>
      </w:r>
      <w:r w:rsidR="00781F46" w:rsidRPr="00781F46">
        <w:rPr>
          <w:rFonts w:cs="Times New Roman"/>
          <w:lang w:val="en-GB"/>
        </w:rPr>
        <w:t>(Berrone, Gelabert, and Fosfuri 2009)</w:t>
      </w:r>
      <w:r w:rsidR="003D6973">
        <w:rPr>
          <w:lang w:val="en-US" w:eastAsia="en-GB"/>
        </w:rPr>
        <w:fldChar w:fldCharType="end"/>
      </w:r>
      <w:r w:rsidRPr="003D281B">
        <w:rPr>
          <w:lang w:eastAsia="en-GB"/>
        </w:rPr>
        <w:t>.</w:t>
      </w:r>
    </w:p>
    <w:p w14:paraId="67E9AEC9" w14:textId="77777777" w:rsidR="003D281B" w:rsidRPr="003D281B" w:rsidRDefault="003D281B" w:rsidP="003D281B">
      <w:pPr>
        <w:rPr>
          <w:lang w:eastAsia="en-GB"/>
        </w:rPr>
      </w:pPr>
      <w:r w:rsidRPr="003D281B">
        <w:rPr>
          <w:i/>
          <w:iCs/>
          <w:lang w:eastAsia="en-GB"/>
        </w:rPr>
        <w:t>H1: As FFF protests grew larger from late 2018 until mid-2019, the largest European companies communicated relatively more about environmental issues than in the year preceding the protests.</w:t>
      </w:r>
    </w:p>
    <w:p w14:paraId="0AE33502" w14:textId="45C8DFC4" w:rsidR="003D281B" w:rsidRPr="003D281B" w:rsidRDefault="003D281B" w:rsidP="003D281B">
      <w:pPr>
        <w:rPr>
          <w:lang w:eastAsia="en-GB"/>
        </w:rPr>
      </w:pPr>
      <w:r w:rsidRPr="003D281B">
        <w:rPr>
          <w:lang w:eastAsia="en-GB"/>
        </w:rPr>
        <w:t>In situations of social upheaval, companies need to react immediately to societal crises. Therefore, reactive communication is often short-term oriented and more symbolic than substantive, which is decoupled from actual underlying changes in corporate activity</w:t>
      </w:r>
      <w:r w:rsidR="003D6973" w:rsidRPr="003D6973">
        <w:rPr>
          <w:lang w:val="en-US" w:eastAsia="en-GB"/>
        </w:rPr>
        <w:t xml:space="preserve"> </w:t>
      </w:r>
      <w:r w:rsidR="003D6973">
        <w:rPr>
          <w:lang w:val="en-US" w:eastAsia="en-GB"/>
        </w:rPr>
        <w:fldChar w:fldCharType="begin"/>
      </w:r>
      <w:r w:rsidR="00781F46">
        <w:rPr>
          <w:lang w:val="en-US" w:eastAsia="en-GB"/>
        </w:rPr>
        <w:instrText xml:space="preserve"> ADDIN ZOTERO_ITEM CSL_CITATION {"citationID":"a1gaap39grn","properties":{"formattedCitation":"(Berrone, Gelabert, and Fosfuri 2009)","plainCitation":"(Berrone, Gelabert, and Fosfuri 2009)","noteIndex":0},"citationItems":[{"id":1757,"uris":["http://zotero.org/users/6955808/items/49IYTWZZ"],"uri":["http://zotero.org/users/6955808/items/49IYTWZZ"],"itemData":{"id":1757,"type":"article-journal","container-title":"IESE Business School","title":"The Impact of Symbolic and Substantive Actions on Environmental Legitimacy","author":[{"family":"Berrone","given":"Pascual"},{"family":"Gelabert","given":"Liliana"},{"family":"Fosfuri","given":"Andrea"}],"issued":{"date-parts":[["2009",2]]}}}],"schema":"https://github.com/citation-style-language/schema/raw/master/csl-citation.json"} </w:instrText>
      </w:r>
      <w:r w:rsidR="003D6973">
        <w:rPr>
          <w:lang w:val="en-US" w:eastAsia="en-GB"/>
        </w:rPr>
        <w:fldChar w:fldCharType="separate"/>
      </w:r>
      <w:r w:rsidR="00781F46" w:rsidRPr="00781F46">
        <w:rPr>
          <w:rFonts w:cs="Times New Roman"/>
          <w:lang w:val="en-GB"/>
        </w:rPr>
        <w:t>(Berrone, Gelabert, and Fosfuri 2009)</w:t>
      </w:r>
      <w:r w:rsidR="003D6973">
        <w:rPr>
          <w:lang w:val="en-US" w:eastAsia="en-GB"/>
        </w:rPr>
        <w:fldChar w:fldCharType="end"/>
      </w:r>
      <w:r w:rsidRPr="003D281B">
        <w:rPr>
          <w:lang w:eastAsia="en-GB"/>
        </w:rPr>
        <w:t>. Accordingly, a symbolic short-term increase in environment-related communication tends to be subject to the greenwashing accusation.</w:t>
      </w:r>
      <w:r w:rsidR="003D6973" w:rsidRPr="003D6973">
        <w:rPr>
          <w:lang w:val="en-US" w:eastAsia="en-GB"/>
        </w:rPr>
        <w:t xml:space="preserve"> </w:t>
      </w:r>
      <w:r w:rsidR="003D6973">
        <w:rPr>
          <w:lang w:val="en-US" w:eastAsia="en-GB"/>
        </w:rPr>
        <w:fldChar w:fldCharType="begin"/>
      </w:r>
      <w:r w:rsidR="00781F46">
        <w:rPr>
          <w:lang w:val="en-US" w:eastAsia="en-GB"/>
        </w:rPr>
        <w:instrText xml:space="preserve"> ADDIN ZOTERO_ITEM CSL_CITATION {"citationID":"a250a11fqvq","properties":{"formattedCitation":"(Bazillier and Vauday 2013)","plainCitation":"(Bazillier and Vauday 2013)","noteIndex":0},"citationItems":[{"id":6,"uris":["http://zotero.org/users/6955808/items/IJKCJJXU"],"uri":["http://zotero.org/users/6955808/items/IJKCJJXU"],"itemData":{"id":6,"type":"article-journal","title":"The Greenwashing Machine : is CSR more than Communication","URL":"https://hal.archives-ouvertes.fr/hal-00448861v3","author":[{"family":"Bazillier","given":"Rémy"},{"family":"Vauday","given":"Julien"}],"issued":{"date-parts":[["2013"]]}}}],"schema":"https://github.com/citation-style-language/schema/raw/master/csl-citation.json"} </w:instrText>
      </w:r>
      <w:r w:rsidR="003D6973">
        <w:rPr>
          <w:lang w:val="en-US" w:eastAsia="en-GB"/>
        </w:rPr>
        <w:fldChar w:fldCharType="separate"/>
      </w:r>
      <w:r w:rsidR="00781F46" w:rsidRPr="00781F46">
        <w:rPr>
          <w:rFonts w:cs="Times New Roman"/>
          <w:lang w:val="en-GB"/>
        </w:rPr>
        <w:t>(Bazillier and Vauday 2013)</w:t>
      </w:r>
      <w:r w:rsidR="003D6973">
        <w:rPr>
          <w:lang w:val="en-US" w:eastAsia="en-GB"/>
        </w:rPr>
        <w:fldChar w:fldCharType="end"/>
      </w:r>
      <w:r w:rsidRPr="003D281B">
        <w:rPr>
          <w:lang w:eastAsia="en-GB"/>
        </w:rPr>
        <w:t xml:space="preserve"> have shown that greenwashers communicate more soft than hard information</w:t>
      </w:r>
      <w:r w:rsidR="005D2F64" w:rsidRPr="005D2F64">
        <w:rPr>
          <w:lang w:val="en-US" w:eastAsia="en-GB"/>
        </w:rPr>
        <w:t>, meaning that they</w:t>
      </w:r>
      <w:r w:rsidR="00C27C1C" w:rsidRPr="00C27C1C">
        <w:rPr>
          <w:lang w:val="en-US" w:eastAsia="en-GB"/>
        </w:rPr>
        <w:t xml:space="preserve"> </w:t>
      </w:r>
      <w:r w:rsidRPr="003D281B">
        <w:rPr>
          <w:lang w:eastAsia="en-GB"/>
        </w:rPr>
        <w:t>express subjective, vague statements rather than verifiable, quantitative facts.</w:t>
      </w:r>
    </w:p>
    <w:p w14:paraId="497534FD" w14:textId="77777777" w:rsidR="003D281B" w:rsidRPr="003D281B" w:rsidRDefault="003D281B" w:rsidP="003D281B">
      <w:pPr>
        <w:rPr>
          <w:lang w:eastAsia="en-GB"/>
        </w:rPr>
      </w:pPr>
      <w:r w:rsidRPr="003D281B">
        <w:rPr>
          <w:i/>
          <w:iCs/>
          <w:lang w:eastAsia="en-GB"/>
        </w:rPr>
        <w:t>H2: Following the FFF protests, the largest European companies' communication related to environmental issues became, on average, more subjective and vague.</w:t>
      </w:r>
    </w:p>
    <w:p w14:paraId="44855381" w14:textId="77777777" w:rsidR="005C2D06" w:rsidRPr="003D281B" w:rsidRDefault="005C2D06">
      <w:pPr>
        <w:spacing w:after="0" w:line="240" w:lineRule="auto"/>
        <w:rPr>
          <w:lang w:val="en-US"/>
        </w:rPr>
      </w:pPr>
      <w:r w:rsidRPr="003D281B">
        <w:rPr>
          <w:lang w:val="en-US"/>
        </w:rPr>
        <w:br w:type="page"/>
      </w:r>
    </w:p>
    <w:p w14:paraId="59C0ECFE" w14:textId="77777777" w:rsidR="00B55603" w:rsidRDefault="00CE539F" w:rsidP="00B55603">
      <w:pPr>
        <w:pStyle w:val="Heading1"/>
      </w:pPr>
      <w:r w:rsidRPr="00B55603">
        <w:lastRenderedPageBreak/>
        <w:t>Approach</w:t>
      </w:r>
    </w:p>
    <w:p w14:paraId="434766E8" w14:textId="77777777" w:rsidR="004A63B2" w:rsidRDefault="00B55603" w:rsidP="00B55603">
      <w:pPr>
        <w:pStyle w:val="Heading2"/>
      </w:pPr>
      <w:r w:rsidRPr="00B55603">
        <w:t>Data</w:t>
      </w:r>
    </w:p>
    <w:p w14:paraId="0298212C" w14:textId="697E94E9" w:rsidR="004A63B2" w:rsidRPr="004A63B2" w:rsidRDefault="004A63B2" w:rsidP="004A63B2">
      <w:pPr>
        <w:rPr>
          <w:lang w:eastAsia="en-GB"/>
        </w:rPr>
      </w:pPr>
      <w:r w:rsidRPr="004A63B2">
        <w:rPr>
          <w:lang w:eastAsia="en-GB"/>
        </w:rPr>
        <w:t xml:space="preserve">The Forbes media company publishes an annual list of the world's 2000 largest companies called the "Forbes Global 2000". Companies are screened worldwide according to four metrics: sales, profits, assets and market value </w:t>
      </w:r>
      <w:r w:rsidR="009055B2">
        <w:rPr>
          <w:lang w:eastAsia="en-GB"/>
        </w:rPr>
        <w:fldChar w:fldCharType="begin"/>
      </w:r>
      <w:r w:rsidR="001F119B">
        <w:rPr>
          <w:lang w:eastAsia="en-GB"/>
        </w:rPr>
        <w:instrText xml:space="preserve"> ADDIN ZOTERO_ITEM CSL_CITATION {"citationID":"astepna0no","properties":{"formattedCitation":"(Murphy 2015)","plainCitation":"(Murphy 2015)","noteIndex":0},"citationItems":[{"id":1760,"uris":["http://zotero.org/users/6955808/items/24Z3H9NY"],"uri":["http://zotero.org/users/6955808/items/24Z3H9NY"],"itemData":{"id":1760,"type":"article-magazine","container-title":"forbes.com","title":"2015 Global 2000: Methodology","URL":"https://www.forbes.com/sites/andreamurphy/2015/05/06/2015-global-2000-methodology/?sh=72ddf97d70f9","author":[{"family":"Murphy","given":"Andrea"}],"issued":{"date-parts":[["2015",5]]}}}],"schema":"https://github.com/citation-style-language/schema/raw/master/csl-citation.json"} </w:instrText>
      </w:r>
      <w:r w:rsidR="009055B2">
        <w:rPr>
          <w:lang w:eastAsia="en-GB"/>
        </w:rPr>
        <w:fldChar w:fldCharType="separate"/>
      </w:r>
      <w:r w:rsidR="001F119B" w:rsidRPr="001F119B">
        <w:rPr>
          <w:rFonts w:cs="Times New Roman"/>
          <w:lang w:val="en-GB"/>
        </w:rPr>
        <w:t>(Murphy 2015)</w:t>
      </w:r>
      <w:r w:rsidR="009055B2">
        <w:rPr>
          <w:lang w:eastAsia="en-GB"/>
        </w:rPr>
        <w:fldChar w:fldCharType="end"/>
      </w:r>
      <w:r w:rsidRPr="004A63B2">
        <w:rPr>
          <w:lang w:eastAsia="en-GB"/>
        </w:rPr>
        <w:t>. </w:t>
      </w:r>
      <w:hyperlink r:id="rId8" w:history="1">
        <w:r w:rsidRPr="004A63B2">
          <w:rPr>
            <w:color w:val="0000FF"/>
            <w:u w:val="single"/>
            <w:lang w:eastAsia="en-GB"/>
          </w:rPr>
          <w:t>data.world</w:t>
        </w:r>
      </w:hyperlink>
      <w:r w:rsidRPr="004A63B2">
        <w:rPr>
          <w:lang w:eastAsia="en-GB"/>
        </w:rPr>
        <w:t> provides most annual editions of the list to download</w:t>
      </w:r>
      <w:r w:rsidR="00983186" w:rsidRPr="00983186">
        <w:rPr>
          <w:lang w:val="en-US" w:eastAsia="en-GB"/>
        </w:rPr>
        <w:t xml:space="preserve"> </w:t>
      </w:r>
      <w:r w:rsidR="00983186">
        <w:rPr>
          <w:lang w:val="en-US" w:eastAsia="en-GB"/>
        </w:rPr>
        <w:fldChar w:fldCharType="begin"/>
      </w:r>
      <w:r w:rsidR="001F119B">
        <w:rPr>
          <w:lang w:val="en-US" w:eastAsia="en-GB"/>
        </w:rPr>
        <w:instrText xml:space="preserve"> ADDIN ZOTERO_ITEM CSL_CITATION {"citationID":"a2aqnng61ud","properties":{"formattedCitation":"(dataworld 2021)","plainCitation":"(dataworld 2021)","noteIndex":0},"citationItems":[{"id":1761,"uris":["http://zotero.org/users/6955808/items/W5ZK5H5Y"],"uri":["http://zotero.org/users/6955808/items/W5ZK5H5Y"],"itemData":{"id":1761,"type":"book","title":"data.world Forbes Global 2000 - 2019","URL":"https://data.world/aroissues/forbes-global-2000-2008-2019/workspace/file?filename=Forbes+Global+2000+-+2019.csv","author":[{"family":"dataworld","given":""}],"issued":{"date-parts":[["2021",11]]}}}],"schema":"https://github.com/citation-style-language/schema/raw/master/csl-citation.json"} </w:instrText>
      </w:r>
      <w:r w:rsidR="00983186">
        <w:rPr>
          <w:lang w:val="en-US" w:eastAsia="en-GB"/>
        </w:rPr>
        <w:fldChar w:fldCharType="separate"/>
      </w:r>
      <w:r w:rsidR="001F119B" w:rsidRPr="001F119B">
        <w:rPr>
          <w:rFonts w:cs="Times New Roman"/>
          <w:lang w:val="en-GB"/>
        </w:rPr>
        <w:t>(dataworld 2021)</w:t>
      </w:r>
      <w:r w:rsidR="00983186">
        <w:rPr>
          <w:lang w:val="en-US" w:eastAsia="en-GB"/>
        </w:rPr>
        <w:fldChar w:fldCharType="end"/>
      </w:r>
      <w:r w:rsidRPr="004A63B2">
        <w:rPr>
          <w:lang w:eastAsia="en-GB"/>
        </w:rPr>
        <w:t>.</w:t>
      </w:r>
      <w:r w:rsidR="00983186" w:rsidRPr="00983186">
        <w:rPr>
          <w:lang w:val="en-US" w:eastAsia="en-GB"/>
        </w:rPr>
        <w:t xml:space="preserve"> </w:t>
      </w:r>
      <w:r w:rsidRPr="004A63B2">
        <w:rPr>
          <w:lang w:eastAsia="en-GB"/>
        </w:rPr>
        <w:t>I choose the 2019 version because of the Twitter data period (see below). From the list, I choose all European companies, which are 434 in total. This set represents Europe's largest companies.</w:t>
      </w:r>
    </w:p>
    <w:p w14:paraId="213D3C79" w14:textId="645A7657" w:rsidR="004A63B2" w:rsidRPr="004A63B2" w:rsidRDefault="004A63B2" w:rsidP="004A63B2">
      <w:pPr>
        <w:rPr>
          <w:lang w:eastAsia="en-GB"/>
        </w:rPr>
      </w:pPr>
      <w:r w:rsidRPr="004A63B2">
        <w:rPr>
          <w:lang w:eastAsia="en-GB"/>
        </w:rPr>
        <w:t>The data for FFF protests are directly obtained from the movement's website. The movement compiled a comprehensive table where the numbers represent protesters at a given location on a given 'climate strike' day for multiple dates starting in late 2018 until recently</w:t>
      </w:r>
      <w:r w:rsidR="00063713" w:rsidRPr="00063713">
        <w:rPr>
          <w:lang w:val="en-US" w:eastAsia="en-GB"/>
        </w:rPr>
        <w:t xml:space="preserve"> </w:t>
      </w:r>
      <w:r w:rsidR="00063713">
        <w:rPr>
          <w:lang w:val="en-US" w:eastAsia="en-GB"/>
        </w:rPr>
        <w:fldChar w:fldCharType="begin"/>
      </w:r>
      <w:r w:rsidR="001F119B">
        <w:rPr>
          <w:lang w:val="en-US" w:eastAsia="en-GB"/>
        </w:rPr>
        <w:instrText xml:space="preserve"> ADDIN ZOTERO_ITEM CSL_CITATION {"citationID":"a2lob0uo6cm","properties":{"formattedCitation":"(Fridays for Future 2021)","plainCitation":"(Fridays for Future 2021)","noteIndex":0},"citationItems":[{"id":1762,"uris":["http://zotero.org/users/6955808/items/V9AK547Q"],"uri":["http://zotero.org/users/6955808/items/V9AK547Q"],"itemData":{"id":1762,"type":"book","title":"List of Countries","URL":"https://fridaysforfuture.org/what-we-do/strike-statistics/list-of-countries/","author":[{"literal":"Fridays for Future"}],"issued":{"date-parts":[["2021",11]]}}}],"schema":"https://github.com/citation-style-language/schema/raw/master/csl-citation.json"} </w:instrText>
      </w:r>
      <w:r w:rsidR="00063713">
        <w:rPr>
          <w:lang w:val="en-US" w:eastAsia="en-GB"/>
        </w:rPr>
        <w:fldChar w:fldCharType="separate"/>
      </w:r>
      <w:r w:rsidR="001F119B" w:rsidRPr="001F119B">
        <w:rPr>
          <w:rFonts w:cs="Times New Roman"/>
          <w:lang w:val="en-GB"/>
        </w:rPr>
        <w:t>(Fridays for Future 2021)</w:t>
      </w:r>
      <w:r w:rsidR="00063713">
        <w:rPr>
          <w:lang w:val="en-US" w:eastAsia="en-GB"/>
        </w:rPr>
        <w:fldChar w:fldCharType="end"/>
      </w:r>
      <w:r w:rsidRPr="004A63B2">
        <w:rPr>
          <w:lang w:eastAsia="en-GB"/>
        </w:rPr>
        <w:t>. While it is impossible to assure that the numbers are accurate, it is plausible that they, at least, reflect the protests' size on a given day relative to other days.</w:t>
      </w:r>
    </w:p>
    <w:p w14:paraId="4545BD3C" w14:textId="0C9CFDF2" w:rsidR="004A63B2" w:rsidRDefault="004A63B2" w:rsidP="004A63B2">
      <w:pPr>
        <w:rPr>
          <w:lang w:eastAsia="en-GB"/>
        </w:rPr>
      </w:pPr>
      <w:r w:rsidRPr="004A63B2">
        <w:rPr>
          <w:lang w:eastAsia="en-GB"/>
        </w:rPr>
        <w:t>I choose the company's tweets as a representation for corporate communications. Twitter has become an important channel to express global and political opinions</w:t>
      </w:r>
      <w:r w:rsidR="00694EED" w:rsidRPr="00694EED">
        <w:rPr>
          <w:lang w:val="en-US" w:eastAsia="en-GB"/>
        </w:rPr>
        <w:t xml:space="preserve"> </w:t>
      </w:r>
      <w:r w:rsidR="00B73C05">
        <w:rPr>
          <w:lang w:val="en-US" w:eastAsia="en-GB"/>
        </w:rPr>
        <w:fldChar w:fldCharType="begin"/>
      </w:r>
      <w:r w:rsidR="001F119B">
        <w:rPr>
          <w:lang w:val="en-US" w:eastAsia="en-GB"/>
        </w:rPr>
        <w:instrText xml:space="preserve"> ADDIN ZOTERO_ITEM CSL_CITATION {"citationID":"a2hmh8omioc","properties":{"formattedCitation":"(Merle, Reese, and Drews 2019)","plainCitation":"(Merle, Reese, and Drews 2019)","noteIndex":0},"citationItems":[{"id":1739,"uris":["http://zotero.org/users/6955808/items/W7A8AXQS"],"uri":["http://zotero.org/users/6955808/items/W7A8AXQS"],"itemData":{"id":1739,"type":"article-journal","abstract":"(1) Background: global citizenship is often associated with pro-social and pro-environmental attitudes, beliefs and behaviors. Much of this research relies on questionnaire studies, whereas studies drawing on naturally occurring daily communications are under-used. In this paper, we analyse the content that users publish on Twitter related to the issue of global identity and citizenship. (2) Methods: we assessed word frequencies and associated hashtags of 35,237 tweets marked with the hashtag #globalcitizen. A sentiment analysis was conducted to investigate the moods and emotions of the tweets. (3) Results: in line with expectations derived from social identity theory, we found that associated words and hashtags were more often linked to themes of common good/disadvantaged groups than they were to the topic of nature and environment. Providing evidence for an empowerment function of global citizenship, the sentiment analysis suggests that global citizenship is related to rather positive emotions. (4) Conclusion: these findings reveal how identity constructions in social media predict associated contents and possibly pathways to social change.","container-title":"Sustainability","DOI":"10.3390/su11123472","ISSN":"2071-1050","issue":"12","note":"tex.article-number: 3472","title":"#Globalcitizen: An explorative twitter analysis of global identity and sustainability communication","URL":"https://www.mdpi.com/2071-1050/11/12/3472","volume":"11","author":[{"family":"Merle","given":"Marie"},{"family":"Reese","given":"Gerhard"},{"family":"Drews","given":"Stefan"}],"issued":{"date-parts":[["2019"]]}}}],"schema":"https://github.com/citation-style-language/schema/raw/master/csl-citation.json"} </w:instrText>
      </w:r>
      <w:r w:rsidR="00B73C05">
        <w:rPr>
          <w:lang w:val="en-US" w:eastAsia="en-GB"/>
        </w:rPr>
        <w:fldChar w:fldCharType="separate"/>
      </w:r>
      <w:r w:rsidR="001F119B" w:rsidRPr="001F119B">
        <w:rPr>
          <w:rFonts w:cs="Times New Roman"/>
          <w:lang w:val="en-GB"/>
        </w:rPr>
        <w:t>(Merle, Reese, and Drews 2019)</w:t>
      </w:r>
      <w:r w:rsidR="00B73C05">
        <w:rPr>
          <w:lang w:val="en-US" w:eastAsia="en-GB"/>
        </w:rPr>
        <w:fldChar w:fldCharType="end"/>
      </w:r>
      <w:r w:rsidRPr="004A63B2">
        <w:rPr>
          <w:lang w:eastAsia="en-GB"/>
        </w:rPr>
        <w:t>. Its range of users, from individuals to corporations, media, NGOs and governments, is uniquely broa</w:t>
      </w:r>
      <w:r w:rsidR="002D50F0" w:rsidRPr="002D50F0">
        <w:rPr>
          <w:lang w:val="en-US" w:eastAsia="en-GB"/>
        </w:rPr>
        <w:t xml:space="preserve">d </w:t>
      </w:r>
      <w:r w:rsidR="00B802C9">
        <w:rPr>
          <w:lang w:val="en-US" w:eastAsia="en-GB"/>
        </w:rPr>
        <w:fldChar w:fldCharType="begin"/>
      </w:r>
      <w:r w:rsidR="001F119B">
        <w:rPr>
          <w:lang w:val="en-US" w:eastAsia="en-GB"/>
        </w:rPr>
        <w:instrText xml:space="preserve"> ADDIN ZOTERO_ITEM CSL_CITATION {"citationID":"a17cuh8q496","properties":{"formattedCitation":"(Stieglitz and Kr\\uc0\\u252{}ger 2011)","plainCitation":"(Stieglitz and Krüger 2011)","noteIndex":0},"citationItems":[{"id":1743,"uris":["http://zotero.org/users/6955808/items/7KXV4WNJ"],"uri":["http://zotero.org/users/6955808/items/7KXV4WNJ"],"itemData":{"id":1743,"type":"article-journal","container-title":"Association for Information Systems","title":"Analysis of Sentiments in Corporate TwitterCommunication – A Case Study on an Issue ofToyota","URL":"https://aisel.aisnet.org/cgi/viewcontent.cgi?article=1028&amp;context=acis2011","author":[{"family":"Stieglitz","given":"Stefan"},{"family":"Krüger","given":"Nina"}],"issued":{"date-parts":[["2011"]]}}}],"schema":"https://github.com/citation-style-language/schema/raw/master/csl-citation.json"} </w:instrText>
      </w:r>
      <w:r w:rsidR="00B802C9">
        <w:rPr>
          <w:lang w:val="en-US" w:eastAsia="en-GB"/>
        </w:rPr>
        <w:fldChar w:fldCharType="separate"/>
      </w:r>
      <w:r w:rsidR="001F119B" w:rsidRPr="001F119B">
        <w:rPr>
          <w:rFonts w:cs="Times New Roman"/>
          <w:lang w:val="en-GB"/>
        </w:rPr>
        <w:t>(Stieglitz and Krüger 2011)</w:t>
      </w:r>
      <w:r w:rsidR="00B802C9">
        <w:rPr>
          <w:lang w:val="en-US" w:eastAsia="en-GB"/>
        </w:rPr>
        <w:fldChar w:fldCharType="end"/>
      </w:r>
      <w:r w:rsidRPr="004A63B2">
        <w:rPr>
          <w:lang w:eastAsia="en-GB"/>
        </w:rPr>
        <w:t>. Since large, multinational companies often have multiple Twitter accounts, and since there is no comparable data compilation to my knowledge, I search Twitter for every company's main international account and create a corresponding list. If the company does not have an international account, I choose its national account for the country it is headquartered. If the company is a conglomerate with multiple brands and does not have a "group Twitter" altogether, I choose the account of its largest brand (e.g. Daimler). Dr Gerret von Nordheim, researcher at the University of Hamburg, provides the tweets. He has academic access to the Twitter API and kindly offered to scrape the data. I choose to analyse all corporate tweets from approximately one year before and after the first large FFF protests on November 30th 2018. The period is 1.12.2017 to 30.11.2019.</w:t>
      </w:r>
    </w:p>
    <w:p w14:paraId="3559B82E" w14:textId="35AFF992" w:rsidR="00C91C82" w:rsidRPr="00C91C82" w:rsidRDefault="00C91C82" w:rsidP="00C91C82">
      <w:pPr>
        <w:pStyle w:val="Heading2"/>
        <w:rPr>
          <w:rFonts w:eastAsia="Times New Roman"/>
          <w:lang w:val="de-CH" w:eastAsia="en-GB"/>
        </w:rPr>
      </w:pPr>
      <w:proofErr w:type="spellStart"/>
      <w:r>
        <w:rPr>
          <w:lang w:val="de-CH" w:eastAsia="en-GB"/>
        </w:rPr>
        <w:t>Preprocess</w:t>
      </w:r>
      <w:proofErr w:type="spellEnd"/>
    </w:p>
    <w:p w14:paraId="1A5E2B1F" w14:textId="68208FF0" w:rsidR="0018583D" w:rsidRDefault="0018583D" w:rsidP="001B2958">
      <w:r>
        <w:t xml:space="preserve">To process and model the tweets' topics, I rely on a recent paper published by researchers at the University of Hamburg. </w:t>
      </w:r>
      <w:r w:rsidR="000C4F55">
        <w:fldChar w:fldCharType="begin"/>
      </w:r>
      <w:r w:rsidR="000C4F55">
        <w:instrText xml:space="preserve"> ADDIN ZOTERO_ITEM CSL_CITATION {"citationID":"a2934dv8bcf","properties":{"formattedCitation":"\\uldash{(Stanik, Pietz, and Maalej 2021)}","plainCitation":"(Stanik, Pietz, and Maalej 2021)","noteIndex":0},"citationItems":[{"id":1764,"uris":["http://zotero.org/users/6955808/items/C977YQTE"],"uri":["http://zotero.org/users/6955808/items/C977YQTE"],"itemData":{"id":1764,"type":"paper-conference","container-title":"2021 IEEE 29th international requirements engineering conference (RE)","DOI":"10.1109/RE51729.2021.00021","page":"150-161","title":"Unsupervised topic discovery in user comments","author":[{"family":"Stanik","given":"Christoph"},{"family":"Pietz","given":"Tim"},{"family":"Maalej","given":"Walid"}],"issued":{"date-parts":[["2021"]]}}}],"schema":"https://github.com/citation-style-language/schema/raw/master/csl-citation.json"} </w:instrText>
      </w:r>
      <w:r w:rsidR="000C4F55">
        <w:fldChar w:fldCharType="separate"/>
      </w:r>
      <w:r w:rsidR="000C4F55" w:rsidRPr="000C4F55">
        <w:rPr>
          <w:rFonts w:cs="Times New Roman"/>
          <w:u w:val="dash"/>
          <w:lang w:val="en-GB"/>
        </w:rPr>
        <w:t>(Stanik, Pietz, and Maalej 2021)</w:t>
      </w:r>
      <w:r w:rsidR="000C4F55">
        <w:fldChar w:fldCharType="end"/>
      </w:r>
      <w:r w:rsidR="000C4F55" w:rsidRPr="000C4F55">
        <w:rPr>
          <w:lang w:val="en-US"/>
        </w:rPr>
        <w:t xml:space="preserve"> </w:t>
      </w:r>
      <w:r>
        <w:t xml:space="preserve">represent tweets with high-dimensional vectors using a deep bidirectional natural language processing algorithm. </w:t>
      </w:r>
      <w:r>
        <w:lastRenderedPageBreak/>
        <w:t>Then, they reduce dimensionality and cluster the vectors to find human-understandable topics in the tweets. Their approach does not require predefined critical parameters like the number of clusters, and it achieves an agreement level of up to 98% with human coders which is especially remarkable for short texts. Therefore, Stanik et al.'s approach is in many respects superior to similar, more traditional topic modeling algorithms like bag-of-words, TF-IDF or LDA. The methodology is largely transferable to my problem, but since I use different data and there are already more advanced models, I adapt the approach in some respects.</w:t>
      </w:r>
    </w:p>
    <w:p w14:paraId="39F8D514" w14:textId="11D78568" w:rsidR="00DD5262" w:rsidRPr="00094B25" w:rsidRDefault="00094B25" w:rsidP="00094B25">
      <w:pPr>
        <w:pStyle w:val="Heading3"/>
        <w:rPr>
          <w:lang w:val="de-CH"/>
        </w:rPr>
      </w:pPr>
      <w:proofErr w:type="spellStart"/>
      <w:r>
        <w:rPr>
          <w:lang w:val="de-CH"/>
        </w:rPr>
        <w:t>Types</w:t>
      </w:r>
      <w:proofErr w:type="spellEnd"/>
      <w:r>
        <w:rPr>
          <w:lang w:val="de-CH"/>
        </w:rPr>
        <w:t xml:space="preserve"> </w:t>
      </w:r>
      <w:proofErr w:type="spellStart"/>
      <w:r>
        <w:rPr>
          <w:lang w:val="de-CH"/>
        </w:rPr>
        <w:t>of</w:t>
      </w:r>
      <w:proofErr w:type="spellEnd"/>
      <w:r>
        <w:rPr>
          <w:lang w:val="de-CH"/>
        </w:rPr>
        <w:t xml:space="preserve"> </w:t>
      </w:r>
      <w:proofErr w:type="spellStart"/>
      <w:r>
        <w:rPr>
          <w:lang w:val="de-CH"/>
        </w:rPr>
        <w:t>tweets</w:t>
      </w:r>
      <w:proofErr w:type="spellEnd"/>
    </w:p>
    <w:p w14:paraId="3C71151D" w14:textId="64A8A46E" w:rsidR="00DD5262" w:rsidRDefault="0018583D" w:rsidP="001B2958">
      <w:r>
        <w:t>I start by filtering out non-organic tweets. Twitter differentiates four types: First, organic tweets are messages originally created by a given user. Second, retweets are messages taken from another user and posted on a given user's profile. Third, quotes are retweets that a given user adds further content to. Fourth, replies are messages that directly respond to another user's tweet. For logical and economic reasons, I only</w:t>
      </w:r>
      <w:r w:rsidR="007043FE" w:rsidRPr="007043FE">
        <w:rPr>
          <w:lang w:val="en-US"/>
        </w:rPr>
        <w:t xml:space="preserve"> examine</w:t>
      </w:r>
      <w:r>
        <w:t xml:space="preserve"> organic tweets. Replies are largely irrelevant in the context of studying high-level corporate communications because many companies use them as a customer services tool to handle particular inquiries. Also, replies account for about 75% of all tweets in my dataset, so excluding them saves a lot of resources. I exclude retweets and quotes because these formats echo other users more than they carry a given user's genuine message.</w:t>
      </w:r>
    </w:p>
    <w:p w14:paraId="2C639B5D" w14:textId="2170270F" w:rsidR="00094B25" w:rsidRPr="00094B25" w:rsidRDefault="00C86F7C" w:rsidP="00C86F7C">
      <w:pPr>
        <w:pStyle w:val="Heading3"/>
        <w:rPr>
          <w:lang w:val="en-US"/>
        </w:rPr>
      </w:pPr>
      <w:r>
        <w:rPr>
          <w:lang w:val="en-US"/>
        </w:rPr>
        <w:t>Multiple languages</w:t>
      </w:r>
    </w:p>
    <w:p w14:paraId="56C6CAB2" w14:textId="078FFC94" w:rsidR="0018583D" w:rsidRDefault="0018583D" w:rsidP="001B2958">
      <w:r>
        <w:t>Unlike Stanik et al. I include non-English tweets for a more representative and inclusive outcome. This means translating roughly 180'000 tweets with an average of 179 characters. Fulfilling this task at December 2021 rates would cost roughly EUR 600 with leading service providers DeepL and Google Translate. If one were to translate the tweets with open source software and one's own code instead, one would have to download almost as many models as the dataset has non-English languages, i.e. around forty. I choose a compromise, where tweets in the rarest languages are translated using the </w:t>
      </w:r>
      <w:r>
        <w:fldChar w:fldCharType="begin"/>
      </w:r>
      <w:r>
        <w:instrText xml:space="preserve"> HYPERLINK "https://www.deepl.com/pro-api?cta=header-pro-api/" </w:instrText>
      </w:r>
      <w:r>
        <w:fldChar w:fldCharType="separate"/>
      </w:r>
      <w:r>
        <w:rPr>
          <w:rStyle w:val="Hyperlink"/>
          <w:rFonts w:ascii="Segoe UI" w:hAnsi="Segoe UI" w:cs="Segoe UI"/>
        </w:rPr>
        <w:t>DeepL API</w:t>
      </w:r>
      <w:r>
        <w:fldChar w:fldCharType="end"/>
      </w:r>
      <w:r>
        <w:t> to save bandwidth and the more common, non-English languages are translated using models from the </w:t>
      </w:r>
      <w:r>
        <w:fldChar w:fldCharType="begin"/>
      </w:r>
      <w:r>
        <w:instrText xml:space="preserve"> HYPERLINK "https://huggingface.co/Helsinki-NLP" </w:instrText>
      </w:r>
      <w:r>
        <w:fldChar w:fldCharType="separate"/>
      </w:r>
      <w:r>
        <w:rPr>
          <w:rStyle w:val="Hyperlink"/>
          <w:rFonts w:ascii="Segoe UI" w:hAnsi="Segoe UI" w:cs="Segoe UI"/>
        </w:rPr>
        <w:t>University of Helsinki</w:t>
      </w:r>
      <w:r>
        <w:fldChar w:fldCharType="end"/>
      </w:r>
      <w:r>
        <w:t>.</w:t>
      </w:r>
    </w:p>
    <w:p w14:paraId="5018CB1C" w14:textId="009E86CA" w:rsidR="00C86F7C" w:rsidRPr="00C86F7C" w:rsidRDefault="00C86F7C" w:rsidP="00C86F7C">
      <w:pPr>
        <w:pStyle w:val="Heading3"/>
        <w:rPr>
          <w:lang w:val="de-CH"/>
        </w:rPr>
      </w:pPr>
      <w:r>
        <w:rPr>
          <w:lang w:val="de-CH"/>
        </w:rPr>
        <w:t xml:space="preserve">Noise </w:t>
      </w:r>
      <w:proofErr w:type="spellStart"/>
      <w:r>
        <w:rPr>
          <w:lang w:val="de-CH"/>
        </w:rPr>
        <w:t>and</w:t>
      </w:r>
      <w:proofErr w:type="spellEnd"/>
      <w:r>
        <w:rPr>
          <w:lang w:val="de-CH"/>
        </w:rPr>
        <w:t xml:space="preserve"> </w:t>
      </w:r>
      <w:proofErr w:type="spellStart"/>
      <w:r>
        <w:rPr>
          <w:lang w:val="de-CH"/>
        </w:rPr>
        <w:t>hashtags</w:t>
      </w:r>
      <w:proofErr w:type="spellEnd"/>
    </w:p>
    <w:p w14:paraId="235AF2C5" w14:textId="0C0752FA" w:rsidR="0018583D" w:rsidRDefault="0018583D" w:rsidP="001B2958">
      <w:r>
        <w:t>Next I remove redundant information and process hashtags. Like Stanik et al. I remove Twitter accounts a given tweet addresses with expressions like "</w:t>
      </w:r>
      <w:r w:rsidR="009F24A6" w:rsidRPr="009F24A6">
        <w:rPr>
          <w:lang w:val="en-US"/>
        </w:rPr>
        <w:t>@</w:t>
      </w:r>
      <w:r>
        <w:t xml:space="preserve">OtherAccount", and I mask URLs and numbers. Stanik et al. do not mention whether and how they deal with hashtags in tweets. However, this is important because hashtags tend to contain crucial </w:t>
      </w:r>
      <w:r>
        <w:lastRenderedPageBreak/>
        <w:t>information. For contextualisation and stylistic reasons keywords are often summarised as hashtags, e.g. "We are committed to a #sustainablefuture." The fact that sometimes several words are combined into one hashtag makes it difficult to deal with. I handle this difficulty with a word separator trained on tweets.</w:t>
      </w:r>
    </w:p>
    <w:p w14:paraId="1216A8CC" w14:textId="179D41D8" w:rsidR="00D26C75" w:rsidRDefault="00C751EB" w:rsidP="00D26C75">
      <w:pPr>
        <w:pStyle w:val="Heading2"/>
      </w:pPr>
      <w:r>
        <w:rPr>
          <w:lang w:val="de-CH"/>
        </w:rPr>
        <w:t xml:space="preserve">Embedding </w:t>
      </w:r>
      <w:proofErr w:type="spellStart"/>
      <w:r>
        <w:rPr>
          <w:lang w:val="de-CH"/>
        </w:rPr>
        <w:t>and</w:t>
      </w:r>
      <w:proofErr w:type="spellEnd"/>
      <w:r>
        <w:rPr>
          <w:lang w:val="de-CH"/>
        </w:rPr>
        <w:t xml:space="preserve"> c</w:t>
      </w:r>
      <w:r w:rsidR="00D26C75" w:rsidRPr="00D26C75">
        <w:t>lustering</w:t>
      </w:r>
    </w:p>
    <w:p w14:paraId="790CEB90" w14:textId="4F344DE4" w:rsidR="00D26C75" w:rsidRPr="00D26C75" w:rsidRDefault="00D26C75" w:rsidP="00D26C75">
      <w:pPr>
        <w:rPr>
          <w:lang w:eastAsia="en-GB"/>
        </w:rPr>
      </w:pPr>
      <w:r w:rsidRPr="00D26C75">
        <w:rPr>
          <w:lang w:eastAsia="en-GB"/>
        </w:rPr>
        <w:t>I use the</w:t>
      </w:r>
      <w:r w:rsidR="00E12CBC" w:rsidRPr="00E12CBC">
        <w:rPr>
          <w:lang w:val="en-US" w:eastAsia="en-GB"/>
        </w:rPr>
        <w:t xml:space="preserve"> </w:t>
      </w:r>
      <w:r w:rsidR="00E12CBC">
        <w:rPr>
          <w:lang w:val="en-US" w:eastAsia="en-GB"/>
        </w:rPr>
        <w:t>“all-mpnet-base-v2”</w:t>
      </w:r>
      <w:r w:rsidRPr="00D26C75">
        <w:rPr>
          <w:lang w:eastAsia="en-GB"/>
        </w:rPr>
        <w:t xml:space="preserve"> model instead of the</w:t>
      </w:r>
      <w:r w:rsidR="00E12CBC" w:rsidRPr="00E12CBC">
        <w:rPr>
          <w:lang w:val="en-US" w:eastAsia="en-GB"/>
        </w:rPr>
        <w:t xml:space="preserve"> </w:t>
      </w:r>
      <w:r w:rsidR="00E12CBC">
        <w:rPr>
          <w:lang w:val="en-US" w:eastAsia="en-GB"/>
        </w:rPr>
        <w:t>“</w:t>
      </w:r>
      <w:proofErr w:type="spellStart"/>
      <w:r w:rsidR="00E12CBC">
        <w:rPr>
          <w:lang w:val="en-US" w:eastAsia="en-GB"/>
        </w:rPr>
        <w:t>bert</w:t>
      </w:r>
      <w:proofErr w:type="spellEnd"/>
      <w:r w:rsidR="00E12CBC">
        <w:rPr>
          <w:lang w:val="en-US" w:eastAsia="en-GB"/>
        </w:rPr>
        <w:t>-base-</w:t>
      </w:r>
      <w:proofErr w:type="spellStart"/>
      <w:r w:rsidR="00E12CBC">
        <w:rPr>
          <w:lang w:val="en-US" w:eastAsia="en-GB"/>
        </w:rPr>
        <w:t>nli</w:t>
      </w:r>
      <w:proofErr w:type="spellEnd"/>
      <w:r w:rsidR="00E12CBC">
        <w:rPr>
          <w:lang w:val="en-US" w:eastAsia="en-GB"/>
        </w:rPr>
        <w:t>-mean-tokens”</w:t>
      </w:r>
      <w:r w:rsidRPr="00D26C75">
        <w:rPr>
          <w:lang w:eastAsia="en-GB"/>
        </w:rPr>
        <w:t xml:space="preserve"> checkpoint of BERT to create sentence embeddings of the tweets because the latter, which Stanik et al</w:t>
      </w:r>
      <w:r w:rsidR="00E12CBC" w:rsidRPr="00E12CBC">
        <w:rPr>
          <w:lang w:val="en-US" w:eastAsia="en-GB"/>
        </w:rPr>
        <w:t xml:space="preserve">. </w:t>
      </w:r>
      <w:r w:rsidRPr="00D26C75">
        <w:rPr>
          <w:lang w:eastAsia="en-GB"/>
        </w:rPr>
        <w:t>used, is, as of December 2021, out of date according to the </w:t>
      </w:r>
      <w:r w:rsidR="007B70C7">
        <w:fldChar w:fldCharType="begin"/>
      </w:r>
      <w:r w:rsidR="007B70C7">
        <w:instrText xml:space="preserve"> HYPERLINK "https://huggingface.co/sentence-transformers/bert-base-nli-mean-tokens" </w:instrText>
      </w:r>
      <w:r w:rsidR="007B70C7">
        <w:fldChar w:fldCharType="separate"/>
      </w:r>
      <w:r w:rsidRPr="00D26C75">
        <w:rPr>
          <w:color w:val="0000FF"/>
          <w:u w:val="single"/>
          <w:lang w:eastAsia="en-GB"/>
        </w:rPr>
        <w:t>package's documentation</w:t>
      </w:r>
      <w:r w:rsidR="007B70C7">
        <w:rPr>
          <w:color w:val="0000FF"/>
          <w:u w:val="single"/>
          <w:lang w:eastAsia="en-GB"/>
        </w:rPr>
        <w:fldChar w:fldCharType="end"/>
      </w:r>
      <w:r w:rsidRPr="00D26C75">
        <w:rPr>
          <w:lang w:eastAsia="en-GB"/>
        </w:rPr>
        <w:t xml:space="preserve">. The newer model is supposed to achieve better results, but the principle remains the same. Given an input text, the model outputs a 768-dimensional vector that captures its semantic information. The cosine distance between two vectors is analogous to the semantic similarity between two texts. A topic is thus </w:t>
      </w:r>
      <w:r w:rsidR="009C3960" w:rsidRPr="009C3960">
        <w:rPr>
          <w:lang w:val="en-US" w:eastAsia="en-GB"/>
        </w:rPr>
        <w:t xml:space="preserve">represented </w:t>
      </w:r>
      <w:r w:rsidR="009C3960">
        <w:rPr>
          <w:lang w:val="en-US" w:eastAsia="en-GB"/>
        </w:rPr>
        <w:t xml:space="preserve">by an </w:t>
      </w:r>
      <w:r w:rsidR="009B3CF4">
        <w:rPr>
          <w:lang w:val="en-US" w:eastAsia="en-GB"/>
        </w:rPr>
        <w:t>accumulation of data points</w:t>
      </w:r>
      <w:r w:rsidRPr="00D26C75">
        <w:rPr>
          <w:lang w:eastAsia="en-GB"/>
        </w:rPr>
        <w:t xml:space="preserve"> in multidimensional space.</w:t>
      </w:r>
    </w:p>
    <w:p w14:paraId="7FB5FCCD" w14:textId="5E313238" w:rsidR="00D26C75" w:rsidRPr="00D26C75" w:rsidRDefault="00D26C75" w:rsidP="00D26C75">
      <w:pPr>
        <w:rPr>
          <w:lang w:eastAsia="en-GB"/>
        </w:rPr>
      </w:pPr>
      <w:r w:rsidRPr="00D26C75">
        <w:rPr>
          <w:lang w:eastAsia="en-GB"/>
        </w:rPr>
        <w:t xml:space="preserve">It would be possible to calculate the distances between hundreds of thousands of vectors in high-dimensional space, but that would cost computing power and add little value. Many of the 768 data points are </w:t>
      </w:r>
      <w:r w:rsidR="009B3CF4" w:rsidRPr="009B3CF4">
        <w:rPr>
          <w:lang w:val="en-US" w:eastAsia="en-GB"/>
        </w:rPr>
        <w:t>redunda</w:t>
      </w:r>
      <w:r w:rsidR="009B3CF4">
        <w:rPr>
          <w:lang w:val="en-US" w:eastAsia="en-GB"/>
        </w:rPr>
        <w:t>nt when trying</w:t>
      </w:r>
      <w:r w:rsidRPr="00D26C75">
        <w:rPr>
          <w:lang w:eastAsia="en-GB"/>
        </w:rPr>
        <w:t xml:space="preserve"> to find human understandable topics. For this reason I use the UMAP algorithm to reduce dimensionality to twenty, with 100 neighbors considered and 0 minimum distance. All hyperparameters are proposed by Stanik et al.</w:t>
      </w:r>
    </w:p>
    <w:p w14:paraId="7E3F3816" w14:textId="31E59BF0" w:rsidR="00D26C75" w:rsidRDefault="00D26C75" w:rsidP="00D26C75">
      <w:pPr>
        <w:rPr>
          <w:lang w:eastAsia="en-GB"/>
        </w:rPr>
      </w:pPr>
      <w:r w:rsidRPr="00D26C75">
        <w:rPr>
          <w:lang w:eastAsia="en-GB"/>
        </w:rPr>
        <w:t>The final step involves the HDBSCAN algorithm, a clustering technique that does not require a predefined number of topics, does not force data points into cluster</w:t>
      </w:r>
      <w:r w:rsidR="005D054C" w:rsidRPr="005D054C">
        <w:rPr>
          <w:lang w:val="en-US" w:eastAsia="en-GB"/>
        </w:rPr>
        <w:t>s</w:t>
      </w:r>
      <w:r w:rsidRPr="00D26C75">
        <w:rPr>
          <w:lang w:eastAsia="en-GB"/>
        </w:rPr>
        <w:t>, does not assume a cluster shape and can find clusters with different point densities. Consistent with Stanik et al., I choose 30 as the smallest cluster size and the "leaf" selection strategy, which favours smaller clusters.</w:t>
      </w:r>
    </w:p>
    <w:p w14:paraId="5636D121" w14:textId="0B4D1544" w:rsidR="00AB4993" w:rsidRDefault="00AB4993" w:rsidP="00AB4993">
      <w:pPr>
        <w:pStyle w:val="Heading2"/>
      </w:pPr>
      <w:r w:rsidRPr="00AB4993">
        <w:t>Analysis</w:t>
      </w:r>
    </w:p>
    <w:p w14:paraId="78F34449" w14:textId="77777777" w:rsidR="00AB4993" w:rsidRPr="00AB4993" w:rsidRDefault="00AB4993" w:rsidP="00AB4993">
      <w:pPr>
        <w:rPr>
          <w:lang w:eastAsia="en-GB"/>
        </w:rPr>
      </w:pPr>
      <w:r w:rsidRPr="00AB4993">
        <w:rPr>
          <w:lang w:eastAsia="en-GB"/>
        </w:rPr>
        <w:t>For the analysis, I aggregate the variables obtained from the individual tweets for each company and each month. This results in panel data consisting of tables of all the companies for every month of the period analysed. A single table corresponds to the "Forbes Global 2000" list with additional information: The topic distribution of tweets for the given month and the number of FFF protesters that took to the streets in a given month in the country the company is headquartered.</w:t>
      </w:r>
    </w:p>
    <w:p w14:paraId="278FA267" w14:textId="77777777" w:rsidR="00AB4993" w:rsidRPr="00AB4993" w:rsidRDefault="00AB4993" w:rsidP="00AB4993">
      <w:pPr>
        <w:rPr>
          <w:lang w:eastAsia="en-GB"/>
        </w:rPr>
      </w:pPr>
      <w:r w:rsidRPr="00AB4993">
        <w:rPr>
          <w:lang w:eastAsia="en-GB"/>
        </w:rPr>
        <w:lastRenderedPageBreak/>
        <w:t>Then, I descriptively and graphically show how the share of sustainability-related tweets developed during the period overall, per economic sector or country. It may not be possible to analyse the conditions causally because SUTVA is not satisfied. However, it is possible to contrast countries that experienced many protests with countries with hardly any protests and hint at a differences-in-differences approach. It is also possible to calculate various correlation coefficients.</w:t>
      </w:r>
    </w:p>
    <w:p w14:paraId="4B994381" w14:textId="77777777" w:rsidR="00AB4993" w:rsidRPr="00AB4993" w:rsidRDefault="00AB4993" w:rsidP="00AB4993"/>
    <w:p w14:paraId="089992AE" w14:textId="01FC3344" w:rsidR="005C2D06" w:rsidRPr="00B55603" w:rsidRDefault="005C2D06" w:rsidP="004A63B2">
      <w:pPr>
        <w:pStyle w:val="Heading2"/>
        <w:numPr>
          <w:ilvl w:val="0"/>
          <w:numId w:val="0"/>
        </w:numPr>
      </w:pPr>
      <w:r w:rsidRPr="00B55603">
        <w:br w:type="page"/>
      </w:r>
    </w:p>
    <w:p w14:paraId="4958216F" w14:textId="01A020EF" w:rsidR="00D76D5A" w:rsidRPr="00B55603" w:rsidRDefault="00D76D5A" w:rsidP="00B55603">
      <w:pPr>
        <w:pStyle w:val="Heading1"/>
      </w:pPr>
      <w:bookmarkStart w:id="7" w:name="_Toc96348117"/>
      <w:r w:rsidRPr="00B55603">
        <w:lastRenderedPageBreak/>
        <w:t>Results</w:t>
      </w:r>
      <w:bookmarkEnd w:id="7"/>
      <w:r w:rsidR="00AE0DC8">
        <w:rPr>
          <w:lang w:val="de-CH"/>
        </w:rPr>
        <w:t xml:space="preserve"> </w:t>
      </w:r>
      <w:proofErr w:type="spellStart"/>
      <w:r w:rsidR="00AE0DC8">
        <w:rPr>
          <w:lang w:val="de-CH"/>
        </w:rPr>
        <w:t>and</w:t>
      </w:r>
      <w:proofErr w:type="spellEnd"/>
      <w:r w:rsidR="00AE0DC8">
        <w:rPr>
          <w:lang w:val="de-CH"/>
        </w:rPr>
        <w:t xml:space="preserve"> discussion</w:t>
      </w:r>
    </w:p>
    <w:p w14:paraId="4FB69C14" w14:textId="77777777" w:rsidR="004C75CB" w:rsidRPr="004C75CB" w:rsidRDefault="004C75CB" w:rsidP="004C75CB">
      <w:pPr>
        <w:rPr>
          <w:lang w:eastAsia="en-GB"/>
        </w:rPr>
      </w:pPr>
      <w:r w:rsidRPr="004C75CB">
        <w:rPr>
          <w:lang w:eastAsia="en-GB"/>
        </w:rPr>
        <w:t>As of December 2021 I have advanced to the point of finding a single sustainability cluster among roughly 40 topics identified by HDBSCAN. Using TF-IDF matrices I was able to identify the most relevant words for every topic. The sustainability cluster's top words indeed correspond to: sustainability, sustainable, climate, carbon, emissions, etc.</w:t>
      </w:r>
    </w:p>
    <w:p w14:paraId="2B8E9BE2" w14:textId="77777777" w:rsidR="004C75CB" w:rsidRPr="004C75CB" w:rsidRDefault="004C75CB" w:rsidP="004C75CB">
      <w:pPr>
        <w:rPr>
          <w:lang w:eastAsia="en-GB"/>
        </w:rPr>
      </w:pPr>
      <w:r w:rsidRPr="004C75CB">
        <w:rPr>
          <w:lang w:eastAsia="en-GB"/>
        </w:rPr>
        <w:t>I expect both hypotheses to be accurate, which means a jump in the share of sustainability-related tweets and a rise in average tweet-subjectivity when FFF protests occur. I expect these changes to be particularly evident when the most significant protests were held in spring 2019. Also, a reverberation effect is expected, meaning that the share of sustainability-related tweets abates slowly and probably does not return to pre-FFF levels.</w:t>
      </w:r>
    </w:p>
    <w:p w14:paraId="47B7048A" w14:textId="77777777" w:rsidR="005C2D06" w:rsidRPr="004C75CB" w:rsidRDefault="005C2D06">
      <w:pPr>
        <w:spacing w:after="0" w:line="240" w:lineRule="auto"/>
        <w:rPr>
          <w:lang w:val="en-US"/>
        </w:rPr>
      </w:pPr>
      <w:r w:rsidRPr="004C75CB">
        <w:rPr>
          <w:lang w:val="en-US"/>
        </w:rPr>
        <w:br w:type="page"/>
      </w:r>
    </w:p>
    <w:p w14:paraId="7BC86160" w14:textId="17943FCF" w:rsidR="00D76D5A" w:rsidRPr="00B55603" w:rsidRDefault="00D76D5A" w:rsidP="00B55603">
      <w:pPr>
        <w:pStyle w:val="Heading1"/>
      </w:pPr>
      <w:bookmarkStart w:id="8" w:name="_Toc96348118"/>
      <w:r w:rsidRPr="00B55603">
        <w:lastRenderedPageBreak/>
        <w:t>Conclusion</w:t>
      </w:r>
      <w:bookmarkEnd w:id="8"/>
    </w:p>
    <w:p w14:paraId="3EC98474" w14:textId="77777777" w:rsidR="00957AE7" w:rsidRDefault="00957AE7">
      <w:pPr>
        <w:spacing w:after="0" w:line="240" w:lineRule="auto"/>
        <w:rPr>
          <w:lang w:val="de-CH"/>
        </w:rPr>
      </w:pPr>
      <w:r>
        <w:rPr>
          <w:lang w:val="de-CH"/>
        </w:rPr>
        <w:br w:type="page"/>
      </w:r>
    </w:p>
    <w:p w14:paraId="2412E60C" w14:textId="31D7FFCD" w:rsidR="00957AE7" w:rsidRDefault="00957AE7" w:rsidP="00957AE7">
      <w:pPr>
        <w:pStyle w:val="Heading1"/>
      </w:pPr>
      <w:r w:rsidRPr="00B55603">
        <w:lastRenderedPageBreak/>
        <w:t>Bibliography</w:t>
      </w:r>
    </w:p>
    <w:p w14:paraId="3CF3C757" w14:textId="5FEBB1C0" w:rsidR="001F119B" w:rsidRPr="001F119B" w:rsidRDefault="001F119B" w:rsidP="001F119B">
      <w:fldSimple w:instr=" ADDIN ZOTERO_BIBL {&quot;uncited&quot;:[],&quot;omitted&quot;:[],&quot;custom&quot;:[]} CSL_BIBLIOGRAPHY ">
        <w:r w:rsidR="000C4F55">
          <w:rPr>
            <w:lang w:val="en-GB"/>
          </w:rPr>
          <w:t>Automatic citation updates are disabled. To see the bibliography, click Refresh in the Zotero tab.</w:t>
        </w:r>
      </w:fldSimple>
    </w:p>
    <w:sectPr w:rsidR="001F119B" w:rsidRPr="001F119B" w:rsidSect="0018501F">
      <w:footerReference w:type="even" r:id="rId9"/>
      <w:footerReference w:type="defaul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B07578" w14:textId="77777777" w:rsidR="007B70C7" w:rsidRDefault="007B70C7" w:rsidP="0018501F">
      <w:pPr>
        <w:spacing w:after="0" w:line="240" w:lineRule="auto"/>
      </w:pPr>
      <w:r>
        <w:separator/>
      </w:r>
    </w:p>
  </w:endnote>
  <w:endnote w:type="continuationSeparator" w:id="0">
    <w:p w14:paraId="75DF1465" w14:textId="77777777" w:rsidR="007B70C7" w:rsidRDefault="007B70C7" w:rsidP="001850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 w:name="Times New Roman (Headings CS)">
    <w:altName w:val="Times New Roman"/>
    <w:panose1 w:val="020B0604020202020204"/>
    <w:charset w:val="00"/>
    <w:family w:val="roman"/>
    <w:notTrueType/>
    <w:pitch w:val="default"/>
  </w:font>
  <w:font w:name="Times New Roman (Body CS)">
    <w:altName w:val="Times New Roman"/>
    <w:panose1 w:val="020B0604020202020204"/>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98855838"/>
      <w:docPartObj>
        <w:docPartGallery w:val="Page Numbers (Bottom of Page)"/>
        <w:docPartUnique/>
      </w:docPartObj>
    </w:sdtPr>
    <w:sdtEndPr>
      <w:rPr>
        <w:rStyle w:val="PageNumber"/>
      </w:rPr>
    </w:sdtEndPr>
    <w:sdtContent>
      <w:p w14:paraId="5B42F5C0" w14:textId="0A663A7A" w:rsidR="0018501F" w:rsidRDefault="0018501F" w:rsidP="00F5120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AA6A655" w14:textId="77777777" w:rsidR="0018501F" w:rsidRDefault="0018501F" w:rsidP="0018501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50222029"/>
      <w:docPartObj>
        <w:docPartGallery w:val="Page Numbers (Bottom of Page)"/>
        <w:docPartUnique/>
      </w:docPartObj>
    </w:sdtPr>
    <w:sdtEndPr>
      <w:rPr>
        <w:rStyle w:val="PageNumber"/>
      </w:rPr>
    </w:sdtEndPr>
    <w:sdtContent>
      <w:p w14:paraId="72AAA59B" w14:textId="53BF230F" w:rsidR="0018501F" w:rsidRDefault="0018501F" w:rsidP="00F5120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3CC5738C" w14:textId="77777777" w:rsidR="0018501F" w:rsidRDefault="0018501F" w:rsidP="0018501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C69F70" w14:textId="77777777" w:rsidR="007B70C7" w:rsidRDefault="007B70C7" w:rsidP="0018501F">
      <w:pPr>
        <w:spacing w:after="0" w:line="240" w:lineRule="auto"/>
      </w:pPr>
      <w:r>
        <w:separator/>
      </w:r>
    </w:p>
  </w:footnote>
  <w:footnote w:type="continuationSeparator" w:id="0">
    <w:p w14:paraId="44A2B994" w14:textId="77777777" w:rsidR="007B70C7" w:rsidRDefault="007B70C7" w:rsidP="001850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1274A"/>
    <w:multiLevelType w:val="multilevel"/>
    <w:tmpl w:val="6B109E00"/>
    <w:styleLink w:val="CurrentList11"/>
    <w:lvl w:ilvl="0">
      <w:start w:val="1"/>
      <w:numFmt w:val="decimal"/>
      <w:lvlText w:val="%1."/>
      <w:lvlJc w:val="left"/>
      <w:pPr>
        <w:ind w:left="680" w:hanging="68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3562540"/>
    <w:multiLevelType w:val="hybridMultilevel"/>
    <w:tmpl w:val="DF02EBF0"/>
    <w:lvl w:ilvl="0" w:tplc="78B2E738">
      <w:start w:val="1"/>
      <w:numFmt w:val="decimal"/>
      <w:lvlText w:val="%1."/>
      <w:lvlJc w:val="left"/>
      <w:pPr>
        <w:ind w:left="680" w:hanging="68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2AA3472"/>
    <w:multiLevelType w:val="multilevel"/>
    <w:tmpl w:val="073A899A"/>
    <w:lvl w:ilvl="0">
      <w:start w:val="1"/>
      <w:numFmt w:val="decimal"/>
      <w:lvlText w:val="%1."/>
      <w:lvlJc w:val="left"/>
      <w:pPr>
        <w:ind w:left="340" w:hanging="340"/>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8965A57"/>
    <w:multiLevelType w:val="multilevel"/>
    <w:tmpl w:val="D09A5720"/>
    <w:styleLink w:val="CurrentList5"/>
    <w:lvl w:ilvl="0">
      <w:start w:val="1"/>
      <w:numFmt w:val="decimal"/>
      <w:lvlText w:val="%1."/>
      <w:lvlJc w:val="left"/>
      <w:pPr>
        <w:ind w:left="680" w:hanging="68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9EA68AC"/>
    <w:multiLevelType w:val="multilevel"/>
    <w:tmpl w:val="B310F2BE"/>
    <w:styleLink w:val="CurrentList10"/>
    <w:lvl w:ilvl="0">
      <w:start w:val="1"/>
      <w:numFmt w:val="decimal"/>
      <w:lvlText w:val="%1."/>
      <w:lvlJc w:val="left"/>
      <w:pPr>
        <w:ind w:left="680" w:hanging="68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1CD72C16"/>
    <w:multiLevelType w:val="hybridMultilevel"/>
    <w:tmpl w:val="965EFF18"/>
    <w:lvl w:ilvl="0" w:tplc="B0C05EA6">
      <w:start w:val="7"/>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016236C"/>
    <w:multiLevelType w:val="multilevel"/>
    <w:tmpl w:val="D09A5720"/>
    <w:styleLink w:val="CurrentList1"/>
    <w:lvl w:ilvl="0">
      <w:start w:val="1"/>
      <w:numFmt w:val="decimal"/>
      <w:lvlText w:val="%1."/>
      <w:lvlJc w:val="left"/>
      <w:pPr>
        <w:ind w:left="680" w:hanging="68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0EF22EB"/>
    <w:multiLevelType w:val="hybridMultilevel"/>
    <w:tmpl w:val="858828A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19B7753"/>
    <w:multiLevelType w:val="multilevel"/>
    <w:tmpl w:val="D77A140A"/>
    <w:lvl w:ilvl="0">
      <w:start w:val="1"/>
      <w:numFmt w:val="decimal"/>
      <w:lvlText w:val="%1."/>
      <w:lvlJc w:val="left"/>
      <w:pPr>
        <w:ind w:left="340" w:hanging="340"/>
      </w:pPr>
      <w:rPr>
        <w:rFonts w:hint="default"/>
      </w:rPr>
    </w:lvl>
    <w:lvl w:ilvl="1">
      <w:start w:val="1"/>
      <w:numFmt w:val="decimal"/>
      <w:lvlText w:val="%1.%2."/>
      <w:lvlJc w:val="left"/>
      <w:pPr>
        <w:ind w:left="340" w:hanging="340"/>
      </w:pPr>
      <w:rPr>
        <w:rFonts w:hint="default"/>
      </w:rPr>
    </w:lvl>
    <w:lvl w:ilvl="2">
      <w:start w:val="1"/>
      <w:numFmt w:val="decimal"/>
      <w:lvlText w:val="%1.%2.%3."/>
      <w:lvlJc w:val="left"/>
      <w:pPr>
        <w:ind w:left="340" w:hanging="34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3BE66F5"/>
    <w:multiLevelType w:val="multilevel"/>
    <w:tmpl w:val="D09A5720"/>
    <w:styleLink w:val="CurrentList6"/>
    <w:lvl w:ilvl="0">
      <w:start w:val="1"/>
      <w:numFmt w:val="decimal"/>
      <w:lvlText w:val="%1."/>
      <w:lvlJc w:val="left"/>
      <w:pPr>
        <w:ind w:left="680" w:hanging="68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7191FFC"/>
    <w:multiLevelType w:val="multilevel"/>
    <w:tmpl w:val="19D2E3A4"/>
    <w:styleLink w:val="CurrentList9"/>
    <w:lvl w:ilvl="0">
      <w:start w:val="1"/>
      <w:numFmt w:val="decimal"/>
      <w:lvlText w:val="%1"/>
      <w:lvlJc w:val="left"/>
      <w:pPr>
        <w:ind w:left="1134" w:hanging="1134"/>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27C7329C"/>
    <w:multiLevelType w:val="multilevel"/>
    <w:tmpl w:val="D09A5720"/>
    <w:styleLink w:val="CurrentList2"/>
    <w:lvl w:ilvl="0">
      <w:start w:val="1"/>
      <w:numFmt w:val="decimal"/>
      <w:lvlText w:val="%1."/>
      <w:lvlJc w:val="left"/>
      <w:pPr>
        <w:ind w:left="680" w:hanging="68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9F14C32"/>
    <w:multiLevelType w:val="multilevel"/>
    <w:tmpl w:val="D09A5720"/>
    <w:styleLink w:val="CurrentList4"/>
    <w:lvl w:ilvl="0">
      <w:start w:val="1"/>
      <w:numFmt w:val="decimal"/>
      <w:lvlText w:val="%1."/>
      <w:lvlJc w:val="left"/>
      <w:pPr>
        <w:ind w:left="680" w:hanging="68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CF86043"/>
    <w:multiLevelType w:val="multilevel"/>
    <w:tmpl w:val="C6FAE7FE"/>
    <w:styleLink w:val="CurrentList8"/>
    <w:lvl w:ilvl="0">
      <w:start w:val="1"/>
      <w:numFmt w:val="decimal"/>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04D2BC7"/>
    <w:multiLevelType w:val="hybridMultilevel"/>
    <w:tmpl w:val="C6FAE7FE"/>
    <w:lvl w:ilvl="0" w:tplc="0809000F">
      <w:start w:val="1"/>
      <w:numFmt w:val="decimal"/>
      <w:lvlText w:val="%1."/>
      <w:lvlJc w:val="left"/>
      <w:pPr>
        <w:ind w:left="36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B253142"/>
    <w:multiLevelType w:val="hybridMultilevel"/>
    <w:tmpl w:val="54B062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85E5429"/>
    <w:multiLevelType w:val="multilevel"/>
    <w:tmpl w:val="D09A5720"/>
    <w:styleLink w:val="CurrentList3"/>
    <w:lvl w:ilvl="0">
      <w:start w:val="1"/>
      <w:numFmt w:val="decimal"/>
      <w:lvlText w:val="%1."/>
      <w:lvlJc w:val="left"/>
      <w:pPr>
        <w:ind w:left="680" w:hanging="68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5F7A194D"/>
    <w:multiLevelType w:val="multilevel"/>
    <w:tmpl w:val="C6FAE7FE"/>
    <w:styleLink w:val="CurrentList7"/>
    <w:lvl w:ilvl="0">
      <w:start w:val="1"/>
      <w:numFmt w:val="decimal"/>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63450BDC"/>
    <w:multiLevelType w:val="hybridMultilevel"/>
    <w:tmpl w:val="4E36CC66"/>
    <w:lvl w:ilvl="0" w:tplc="66FE7E6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F3C2511"/>
    <w:multiLevelType w:val="hybridMultilevel"/>
    <w:tmpl w:val="D250D0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236618B"/>
    <w:multiLevelType w:val="multilevel"/>
    <w:tmpl w:val="6EB8E0F0"/>
    <w:lvl w:ilvl="0">
      <w:start w:val="1"/>
      <w:numFmt w:val="decimal"/>
      <w:pStyle w:val="Heading1"/>
      <w:lvlText w:val="%1."/>
      <w:lvlJc w:val="left"/>
      <w:pPr>
        <w:ind w:left="680" w:hanging="680"/>
      </w:pPr>
      <w:rPr>
        <w:rFonts w:hint="default"/>
      </w:rPr>
    </w:lvl>
    <w:lvl w:ilvl="1">
      <w:start w:val="1"/>
      <w:numFmt w:val="decimal"/>
      <w:pStyle w:val="Heading2"/>
      <w:lvlText w:val="%1.%2"/>
      <w:lvlJc w:val="left"/>
      <w:pPr>
        <w:ind w:left="680" w:hanging="680"/>
      </w:pPr>
      <w:rPr>
        <w:rFonts w:hint="default"/>
      </w:rPr>
    </w:lvl>
    <w:lvl w:ilvl="2">
      <w:start w:val="1"/>
      <w:numFmt w:val="decimal"/>
      <w:pStyle w:val="Heading3"/>
      <w:lvlText w:val="%1.%2.%3"/>
      <w:lvlJc w:val="left"/>
      <w:pPr>
        <w:ind w:left="680" w:hanging="68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1" w15:restartNumberingAfterBreak="0">
    <w:nsid w:val="78B04116"/>
    <w:multiLevelType w:val="multilevel"/>
    <w:tmpl w:val="70E8E2C6"/>
    <w:styleLink w:val="CurrentList12"/>
    <w:lvl w:ilvl="0">
      <w:start w:val="1"/>
      <w:numFmt w:val="decimal"/>
      <w:lvlText w:val="%1."/>
      <w:lvlJc w:val="left"/>
      <w:pPr>
        <w:ind w:left="680" w:hanging="680"/>
      </w:pPr>
      <w:rPr>
        <w:rFonts w:hint="default"/>
      </w:rPr>
    </w:lvl>
    <w:lvl w:ilvl="1">
      <w:start w:val="1"/>
      <w:numFmt w:val="decimal"/>
      <w:lvlText w:val="%1.%2"/>
      <w:lvlJc w:val="left"/>
      <w:pPr>
        <w:ind w:left="680" w:hanging="6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5"/>
  </w:num>
  <w:num w:numId="2">
    <w:abstractNumId w:val="19"/>
  </w:num>
  <w:num w:numId="3">
    <w:abstractNumId w:val="1"/>
  </w:num>
  <w:num w:numId="4">
    <w:abstractNumId w:val="18"/>
  </w:num>
  <w:num w:numId="5">
    <w:abstractNumId w:val="14"/>
  </w:num>
  <w:num w:numId="6">
    <w:abstractNumId w:val="2"/>
  </w:num>
  <w:num w:numId="7">
    <w:abstractNumId w:val="5"/>
  </w:num>
  <w:num w:numId="8">
    <w:abstractNumId w:val="6"/>
  </w:num>
  <w:num w:numId="9">
    <w:abstractNumId w:val="11"/>
  </w:num>
  <w:num w:numId="10">
    <w:abstractNumId w:val="16"/>
  </w:num>
  <w:num w:numId="11">
    <w:abstractNumId w:val="12"/>
  </w:num>
  <w:num w:numId="12">
    <w:abstractNumId w:val="3"/>
  </w:num>
  <w:num w:numId="13">
    <w:abstractNumId w:val="8"/>
  </w:num>
  <w:num w:numId="14">
    <w:abstractNumId w:val="9"/>
  </w:num>
  <w:num w:numId="15">
    <w:abstractNumId w:val="20"/>
  </w:num>
  <w:num w:numId="16">
    <w:abstractNumId w:val="17"/>
  </w:num>
  <w:num w:numId="17">
    <w:abstractNumId w:val="13"/>
  </w:num>
  <w:num w:numId="18">
    <w:abstractNumId w:val="7"/>
  </w:num>
  <w:num w:numId="19">
    <w:abstractNumId w:val="10"/>
  </w:num>
  <w:num w:numId="20">
    <w:abstractNumId w:val="4"/>
  </w:num>
  <w:num w:numId="21">
    <w:abstractNumId w:val="0"/>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D88"/>
    <w:rsid w:val="00063713"/>
    <w:rsid w:val="00094B25"/>
    <w:rsid w:val="000C4F55"/>
    <w:rsid w:val="000F1DBD"/>
    <w:rsid w:val="0012079D"/>
    <w:rsid w:val="00120A39"/>
    <w:rsid w:val="0016257D"/>
    <w:rsid w:val="0018501F"/>
    <w:rsid w:val="0018583D"/>
    <w:rsid w:val="001A019F"/>
    <w:rsid w:val="001A7D88"/>
    <w:rsid w:val="001B2958"/>
    <w:rsid w:val="001F119B"/>
    <w:rsid w:val="00285784"/>
    <w:rsid w:val="002D50F0"/>
    <w:rsid w:val="002F5E88"/>
    <w:rsid w:val="002F5FBB"/>
    <w:rsid w:val="00331774"/>
    <w:rsid w:val="00334401"/>
    <w:rsid w:val="00336787"/>
    <w:rsid w:val="00375156"/>
    <w:rsid w:val="00397F5D"/>
    <w:rsid w:val="003D281B"/>
    <w:rsid w:val="003D2C42"/>
    <w:rsid w:val="003D6973"/>
    <w:rsid w:val="0040358A"/>
    <w:rsid w:val="00431118"/>
    <w:rsid w:val="004347C0"/>
    <w:rsid w:val="00476D20"/>
    <w:rsid w:val="00477659"/>
    <w:rsid w:val="004863AF"/>
    <w:rsid w:val="004A63B2"/>
    <w:rsid w:val="004C75CB"/>
    <w:rsid w:val="00502EC9"/>
    <w:rsid w:val="00585726"/>
    <w:rsid w:val="005A77E1"/>
    <w:rsid w:val="005C2D06"/>
    <w:rsid w:val="005D054C"/>
    <w:rsid w:val="005D2F64"/>
    <w:rsid w:val="0060746D"/>
    <w:rsid w:val="006127D8"/>
    <w:rsid w:val="0064096F"/>
    <w:rsid w:val="00644A08"/>
    <w:rsid w:val="00694EED"/>
    <w:rsid w:val="007043FE"/>
    <w:rsid w:val="00725BFC"/>
    <w:rsid w:val="00742E1A"/>
    <w:rsid w:val="00781F46"/>
    <w:rsid w:val="007943B1"/>
    <w:rsid w:val="007B70C7"/>
    <w:rsid w:val="00824AEC"/>
    <w:rsid w:val="008433F3"/>
    <w:rsid w:val="00864B69"/>
    <w:rsid w:val="008A5FE4"/>
    <w:rsid w:val="008F2E1D"/>
    <w:rsid w:val="008F5AC6"/>
    <w:rsid w:val="009055B2"/>
    <w:rsid w:val="00924CAC"/>
    <w:rsid w:val="009251D5"/>
    <w:rsid w:val="0095569F"/>
    <w:rsid w:val="00957AE7"/>
    <w:rsid w:val="00983186"/>
    <w:rsid w:val="009A77B6"/>
    <w:rsid w:val="009B3CF4"/>
    <w:rsid w:val="009C3960"/>
    <w:rsid w:val="009F24A6"/>
    <w:rsid w:val="00A16046"/>
    <w:rsid w:val="00A600AA"/>
    <w:rsid w:val="00A80EF9"/>
    <w:rsid w:val="00AA0132"/>
    <w:rsid w:val="00AB4993"/>
    <w:rsid w:val="00AE0DC8"/>
    <w:rsid w:val="00B24520"/>
    <w:rsid w:val="00B25A44"/>
    <w:rsid w:val="00B33D28"/>
    <w:rsid w:val="00B55603"/>
    <w:rsid w:val="00B73C05"/>
    <w:rsid w:val="00B802C9"/>
    <w:rsid w:val="00C21B0D"/>
    <w:rsid w:val="00C27C1C"/>
    <w:rsid w:val="00C751EB"/>
    <w:rsid w:val="00C80B42"/>
    <w:rsid w:val="00C86F7C"/>
    <w:rsid w:val="00C914B3"/>
    <w:rsid w:val="00C91C82"/>
    <w:rsid w:val="00CC6B2E"/>
    <w:rsid w:val="00CE539F"/>
    <w:rsid w:val="00D26C75"/>
    <w:rsid w:val="00D34BC4"/>
    <w:rsid w:val="00D533D1"/>
    <w:rsid w:val="00D76D5A"/>
    <w:rsid w:val="00DD5262"/>
    <w:rsid w:val="00E12CBC"/>
    <w:rsid w:val="00EA1F75"/>
    <w:rsid w:val="00EB2307"/>
    <w:rsid w:val="00ED5AB6"/>
    <w:rsid w:val="00EE730E"/>
    <w:rsid w:val="00F57977"/>
    <w:rsid w:val="00F92C89"/>
    <w:rsid w:val="00FA4799"/>
    <w:rsid w:val="00FB7D9C"/>
    <w:rsid w:val="00FE6E90"/>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870E8"/>
  <w15:chartTrackingRefBased/>
  <w15:docId w15:val="{BCF7F060-ED98-7E4F-A6E2-371CC2AB9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4BC4"/>
    <w:pPr>
      <w:spacing w:after="120" w:line="360" w:lineRule="auto"/>
    </w:pPr>
    <w:rPr>
      <w:rFonts w:ascii="Helvetica Neue" w:hAnsi="Helvetica Neue"/>
      <w:sz w:val="22"/>
    </w:rPr>
  </w:style>
  <w:style w:type="paragraph" w:styleId="Heading1">
    <w:name w:val="heading 1"/>
    <w:basedOn w:val="Normal"/>
    <w:next w:val="Normal"/>
    <w:link w:val="Heading1Char"/>
    <w:uiPriority w:val="9"/>
    <w:qFormat/>
    <w:rsid w:val="00A600AA"/>
    <w:pPr>
      <w:keepNext/>
      <w:keepLines/>
      <w:numPr>
        <w:numId w:val="15"/>
      </w:numPr>
      <w:spacing w:before="120" w:after="24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A600AA"/>
    <w:pPr>
      <w:keepNext/>
      <w:keepLines/>
      <w:numPr>
        <w:ilvl w:val="1"/>
        <w:numId w:val="15"/>
      </w:numPr>
      <w:spacing w:before="240"/>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A600AA"/>
    <w:pPr>
      <w:keepNext/>
      <w:keepLines/>
      <w:numPr>
        <w:ilvl w:val="2"/>
        <w:numId w:val="15"/>
      </w:numPr>
      <w:spacing w:before="40" w:after="0"/>
      <w:outlineLvl w:val="2"/>
    </w:pPr>
    <w:rPr>
      <w:rFonts w:eastAsiaTheme="majorEastAsia" w:cstheme="majorBidi"/>
      <w:b/>
      <w:color w:val="000000" w:themeColor="text1"/>
    </w:rPr>
  </w:style>
  <w:style w:type="paragraph" w:styleId="Heading4">
    <w:name w:val="heading 4"/>
    <w:basedOn w:val="Normal"/>
    <w:next w:val="Normal"/>
    <w:link w:val="Heading4Char"/>
    <w:uiPriority w:val="9"/>
    <w:semiHidden/>
    <w:unhideWhenUsed/>
    <w:qFormat/>
    <w:rsid w:val="00A600AA"/>
    <w:pPr>
      <w:keepNext/>
      <w:keepLines/>
      <w:numPr>
        <w:ilvl w:val="3"/>
        <w:numId w:val="15"/>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600AA"/>
    <w:pPr>
      <w:keepNext/>
      <w:keepLines/>
      <w:numPr>
        <w:ilvl w:val="4"/>
        <w:numId w:val="1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600AA"/>
    <w:pPr>
      <w:keepNext/>
      <w:keepLines/>
      <w:numPr>
        <w:ilvl w:val="5"/>
        <w:numId w:val="1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600AA"/>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600AA"/>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600AA"/>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34BC4"/>
    <w:pPr>
      <w:contextualSpacing/>
      <w:jc w:val="center"/>
    </w:pPr>
    <w:rPr>
      <w:rFonts w:eastAsiaTheme="majorEastAsia" w:cs="Times New Roman (Headings CS)"/>
      <w:kern w:val="24"/>
      <w:szCs w:val="56"/>
    </w:rPr>
  </w:style>
  <w:style w:type="character" w:customStyle="1" w:styleId="TitleChar">
    <w:name w:val="Title Char"/>
    <w:basedOn w:val="DefaultParagraphFont"/>
    <w:link w:val="Title"/>
    <w:uiPriority w:val="10"/>
    <w:rsid w:val="00D34BC4"/>
    <w:rPr>
      <w:rFonts w:ascii="Helvetica Neue" w:eastAsiaTheme="majorEastAsia" w:hAnsi="Helvetica Neue" w:cs="Times New Roman (Headings CS)"/>
      <w:kern w:val="24"/>
      <w:sz w:val="22"/>
      <w:szCs w:val="56"/>
    </w:rPr>
  </w:style>
  <w:style w:type="paragraph" w:styleId="ListParagraph">
    <w:name w:val="List Paragraph"/>
    <w:basedOn w:val="Normal"/>
    <w:uiPriority w:val="34"/>
    <w:qFormat/>
    <w:rsid w:val="00ED5AB6"/>
    <w:pPr>
      <w:ind w:left="720"/>
      <w:contextualSpacing/>
    </w:pPr>
  </w:style>
  <w:style w:type="character" w:customStyle="1" w:styleId="Heading1Char">
    <w:name w:val="Heading 1 Char"/>
    <w:basedOn w:val="DefaultParagraphFont"/>
    <w:link w:val="Heading1"/>
    <w:uiPriority w:val="9"/>
    <w:rsid w:val="002F5FBB"/>
    <w:rPr>
      <w:rFonts w:ascii="Helvetica Neue" w:eastAsiaTheme="majorEastAsia" w:hAnsi="Helvetica Neue" w:cstheme="majorBidi"/>
      <w:b/>
      <w:color w:val="000000" w:themeColor="text1"/>
      <w:sz w:val="32"/>
      <w:szCs w:val="32"/>
    </w:rPr>
  </w:style>
  <w:style w:type="paragraph" w:styleId="NormalWeb">
    <w:name w:val="Normal (Web)"/>
    <w:basedOn w:val="Normal"/>
    <w:uiPriority w:val="99"/>
    <w:semiHidden/>
    <w:unhideWhenUsed/>
    <w:rsid w:val="00D533D1"/>
    <w:pPr>
      <w:spacing w:before="100" w:beforeAutospacing="1" w:after="100" w:afterAutospacing="1"/>
    </w:pPr>
    <w:rPr>
      <w:rFonts w:ascii="Times New Roman" w:eastAsia="Times New Roman" w:hAnsi="Times New Roman" w:cs="Times New Roman"/>
      <w:lang w:eastAsia="en-GB"/>
    </w:rPr>
  </w:style>
  <w:style w:type="paragraph" w:styleId="Header">
    <w:name w:val="header"/>
    <w:basedOn w:val="Normal"/>
    <w:link w:val="HeaderChar"/>
    <w:uiPriority w:val="99"/>
    <w:unhideWhenUsed/>
    <w:rsid w:val="001850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501F"/>
    <w:rPr>
      <w:rFonts w:ascii="Helvetica Neue" w:hAnsi="Helvetica Neue"/>
      <w:sz w:val="22"/>
    </w:rPr>
  </w:style>
  <w:style w:type="paragraph" w:styleId="Footer">
    <w:name w:val="footer"/>
    <w:basedOn w:val="Normal"/>
    <w:link w:val="FooterChar"/>
    <w:uiPriority w:val="99"/>
    <w:unhideWhenUsed/>
    <w:rsid w:val="001850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501F"/>
    <w:rPr>
      <w:rFonts w:ascii="Helvetica Neue" w:hAnsi="Helvetica Neue"/>
      <w:sz w:val="22"/>
    </w:rPr>
  </w:style>
  <w:style w:type="character" w:styleId="PageNumber">
    <w:name w:val="page number"/>
    <w:basedOn w:val="DefaultParagraphFont"/>
    <w:uiPriority w:val="99"/>
    <w:semiHidden/>
    <w:unhideWhenUsed/>
    <w:rsid w:val="0018501F"/>
  </w:style>
  <w:style w:type="character" w:styleId="IntenseReference">
    <w:name w:val="Intense Reference"/>
    <w:basedOn w:val="DefaultParagraphFont"/>
    <w:uiPriority w:val="32"/>
    <w:qFormat/>
    <w:rsid w:val="002F5FBB"/>
    <w:rPr>
      <w:b/>
      <w:bCs/>
      <w:smallCaps/>
      <w:color w:val="4472C4" w:themeColor="accent1"/>
      <w:spacing w:val="5"/>
    </w:rPr>
  </w:style>
  <w:style w:type="paragraph" w:styleId="TOC1">
    <w:name w:val="toc 1"/>
    <w:basedOn w:val="Normal"/>
    <w:next w:val="Normal"/>
    <w:autoRedefine/>
    <w:uiPriority w:val="39"/>
    <w:unhideWhenUsed/>
    <w:rsid w:val="00A16046"/>
    <w:pPr>
      <w:spacing w:after="100"/>
    </w:pPr>
  </w:style>
  <w:style w:type="paragraph" w:styleId="Subtitle">
    <w:name w:val="Subtitle"/>
    <w:aliases w:val="TOC Title"/>
    <w:basedOn w:val="Normal"/>
    <w:next w:val="Normal"/>
    <w:link w:val="SubtitleChar"/>
    <w:uiPriority w:val="11"/>
    <w:qFormat/>
    <w:rsid w:val="002F5FBB"/>
    <w:pPr>
      <w:numPr>
        <w:ilvl w:val="1"/>
      </w:numPr>
      <w:spacing w:before="120" w:after="240"/>
    </w:pPr>
    <w:rPr>
      <w:rFonts w:eastAsiaTheme="minorEastAsia" w:cs="Times New Roman (Body CS)"/>
      <w:b/>
      <w:color w:val="000000" w:themeColor="text1"/>
      <w:sz w:val="32"/>
      <w:szCs w:val="22"/>
    </w:rPr>
  </w:style>
  <w:style w:type="character" w:customStyle="1" w:styleId="SubtitleChar">
    <w:name w:val="Subtitle Char"/>
    <w:aliases w:val="TOC Title Char"/>
    <w:basedOn w:val="DefaultParagraphFont"/>
    <w:link w:val="Subtitle"/>
    <w:uiPriority w:val="11"/>
    <w:rsid w:val="002F5FBB"/>
    <w:rPr>
      <w:rFonts w:ascii="Helvetica Neue" w:eastAsiaTheme="minorEastAsia" w:hAnsi="Helvetica Neue" w:cs="Times New Roman (Body CS)"/>
      <w:b/>
      <w:color w:val="000000" w:themeColor="text1"/>
      <w:sz w:val="32"/>
      <w:szCs w:val="22"/>
    </w:rPr>
  </w:style>
  <w:style w:type="paragraph" w:styleId="Bibliography">
    <w:name w:val="Bibliography"/>
    <w:basedOn w:val="Normal"/>
    <w:next w:val="Normal"/>
    <w:uiPriority w:val="37"/>
    <w:unhideWhenUsed/>
    <w:rsid w:val="00957AE7"/>
    <w:pPr>
      <w:spacing w:after="240" w:line="240" w:lineRule="auto"/>
      <w:ind w:left="720" w:hanging="720"/>
    </w:pPr>
  </w:style>
  <w:style w:type="character" w:styleId="Emphasis">
    <w:name w:val="Emphasis"/>
    <w:basedOn w:val="DefaultParagraphFont"/>
    <w:uiPriority w:val="20"/>
    <w:qFormat/>
    <w:rsid w:val="003D281B"/>
    <w:rPr>
      <w:i/>
      <w:iCs/>
    </w:rPr>
  </w:style>
  <w:style w:type="character" w:customStyle="1" w:styleId="Heading2Char">
    <w:name w:val="Heading 2 Char"/>
    <w:basedOn w:val="DefaultParagraphFont"/>
    <w:link w:val="Heading2"/>
    <w:uiPriority w:val="9"/>
    <w:rsid w:val="00094B25"/>
    <w:rPr>
      <w:rFonts w:ascii="Helvetica Neue" w:eastAsiaTheme="majorEastAsia" w:hAnsi="Helvetica Neue" w:cstheme="majorBidi"/>
      <w:b/>
      <w:color w:val="000000" w:themeColor="text1"/>
      <w:sz w:val="26"/>
      <w:szCs w:val="26"/>
    </w:rPr>
  </w:style>
  <w:style w:type="numbering" w:customStyle="1" w:styleId="CurrentList5">
    <w:name w:val="Current List5"/>
    <w:uiPriority w:val="99"/>
    <w:rsid w:val="008F5AC6"/>
    <w:pPr>
      <w:numPr>
        <w:numId w:val="12"/>
      </w:numPr>
    </w:pPr>
  </w:style>
  <w:style w:type="numbering" w:customStyle="1" w:styleId="CurrentList1">
    <w:name w:val="Current List1"/>
    <w:uiPriority w:val="99"/>
    <w:rsid w:val="008433F3"/>
    <w:pPr>
      <w:numPr>
        <w:numId w:val="8"/>
      </w:numPr>
    </w:pPr>
  </w:style>
  <w:style w:type="numbering" w:customStyle="1" w:styleId="CurrentList2">
    <w:name w:val="Current List2"/>
    <w:uiPriority w:val="99"/>
    <w:rsid w:val="008433F3"/>
    <w:pPr>
      <w:numPr>
        <w:numId w:val="9"/>
      </w:numPr>
    </w:pPr>
  </w:style>
  <w:style w:type="numbering" w:customStyle="1" w:styleId="CurrentList3">
    <w:name w:val="Current List3"/>
    <w:uiPriority w:val="99"/>
    <w:rsid w:val="008433F3"/>
    <w:pPr>
      <w:numPr>
        <w:numId w:val="10"/>
      </w:numPr>
    </w:pPr>
  </w:style>
  <w:style w:type="numbering" w:customStyle="1" w:styleId="CurrentList4">
    <w:name w:val="Current List4"/>
    <w:uiPriority w:val="99"/>
    <w:rsid w:val="001A019F"/>
    <w:pPr>
      <w:numPr>
        <w:numId w:val="11"/>
      </w:numPr>
    </w:pPr>
  </w:style>
  <w:style w:type="character" w:styleId="Hyperlink">
    <w:name w:val="Hyperlink"/>
    <w:basedOn w:val="DefaultParagraphFont"/>
    <w:uiPriority w:val="99"/>
    <w:semiHidden/>
    <w:unhideWhenUsed/>
    <w:rsid w:val="004A63B2"/>
    <w:rPr>
      <w:color w:val="0000FF"/>
      <w:u w:val="single"/>
    </w:rPr>
  </w:style>
  <w:style w:type="numbering" w:customStyle="1" w:styleId="CurrentList6">
    <w:name w:val="Current List6"/>
    <w:uiPriority w:val="99"/>
    <w:rsid w:val="008F5AC6"/>
    <w:pPr>
      <w:numPr>
        <w:numId w:val="14"/>
      </w:numPr>
    </w:pPr>
  </w:style>
  <w:style w:type="character" w:customStyle="1" w:styleId="Heading3Char">
    <w:name w:val="Heading 3 Char"/>
    <w:basedOn w:val="DefaultParagraphFont"/>
    <w:link w:val="Heading3"/>
    <w:uiPriority w:val="9"/>
    <w:rsid w:val="00094B25"/>
    <w:rPr>
      <w:rFonts w:ascii="Helvetica Neue" w:eastAsiaTheme="majorEastAsia" w:hAnsi="Helvetica Neue" w:cstheme="majorBidi"/>
      <w:b/>
      <w:color w:val="000000" w:themeColor="text1"/>
      <w:sz w:val="22"/>
    </w:rPr>
  </w:style>
  <w:style w:type="character" w:customStyle="1" w:styleId="Heading4Char">
    <w:name w:val="Heading 4 Char"/>
    <w:basedOn w:val="DefaultParagraphFont"/>
    <w:link w:val="Heading4"/>
    <w:uiPriority w:val="9"/>
    <w:semiHidden/>
    <w:rsid w:val="008F5AC6"/>
    <w:rPr>
      <w:rFonts w:asciiTheme="majorHAnsi" w:eastAsiaTheme="majorEastAsia" w:hAnsiTheme="majorHAnsi" w:cstheme="majorBidi"/>
      <w:i/>
      <w:iCs/>
      <w:color w:val="2F5496" w:themeColor="accent1" w:themeShade="BF"/>
      <w:sz w:val="22"/>
    </w:rPr>
  </w:style>
  <w:style w:type="character" w:customStyle="1" w:styleId="Heading5Char">
    <w:name w:val="Heading 5 Char"/>
    <w:basedOn w:val="DefaultParagraphFont"/>
    <w:link w:val="Heading5"/>
    <w:uiPriority w:val="9"/>
    <w:semiHidden/>
    <w:rsid w:val="008F5AC6"/>
    <w:rPr>
      <w:rFonts w:asciiTheme="majorHAnsi" w:eastAsiaTheme="majorEastAsia" w:hAnsiTheme="majorHAnsi" w:cstheme="majorBidi"/>
      <w:color w:val="2F5496" w:themeColor="accent1" w:themeShade="BF"/>
      <w:sz w:val="22"/>
    </w:rPr>
  </w:style>
  <w:style w:type="character" w:customStyle="1" w:styleId="Heading6Char">
    <w:name w:val="Heading 6 Char"/>
    <w:basedOn w:val="DefaultParagraphFont"/>
    <w:link w:val="Heading6"/>
    <w:uiPriority w:val="9"/>
    <w:semiHidden/>
    <w:rsid w:val="008F5AC6"/>
    <w:rPr>
      <w:rFonts w:asciiTheme="majorHAnsi" w:eastAsiaTheme="majorEastAsia" w:hAnsiTheme="majorHAnsi" w:cstheme="majorBidi"/>
      <w:color w:val="1F3763" w:themeColor="accent1" w:themeShade="7F"/>
      <w:sz w:val="22"/>
    </w:rPr>
  </w:style>
  <w:style w:type="character" w:customStyle="1" w:styleId="Heading7Char">
    <w:name w:val="Heading 7 Char"/>
    <w:basedOn w:val="DefaultParagraphFont"/>
    <w:link w:val="Heading7"/>
    <w:uiPriority w:val="9"/>
    <w:semiHidden/>
    <w:rsid w:val="008F5AC6"/>
    <w:rPr>
      <w:rFonts w:asciiTheme="majorHAnsi" w:eastAsiaTheme="majorEastAsia" w:hAnsiTheme="majorHAnsi" w:cstheme="majorBidi"/>
      <w:i/>
      <w:iCs/>
      <w:color w:val="1F3763" w:themeColor="accent1" w:themeShade="7F"/>
      <w:sz w:val="22"/>
    </w:rPr>
  </w:style>
  <w:style w:type="character" w:customStyle="1" w:styleId="Heading8Char">
    <w:name w:val="Heading 8 Char"/>
    <w:basedOn w:val="DefaultParagraphFont"/>
    <w:link w:val="Heading8"/>
    <w:uiPriority w:val="9"/>
    <w:semiHidden/>
    <w:rsid w:val="008F5AC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F5AC6"/>
    <w:rPr>
      <w:rFonts w:asciiTheme="majorHAnsi" w:eastAsiaTheme="majorEastAsia" w:hAnsiTheme="majorHAnsi" w:cstheme="majorBidi"/>
      <w:i/>
      <w:iCs/>
      <w:color w:val="272727" w:themeColor="text1" w:themeTint="D8"/>
      <w:sz w:val="21"/>
      <w:szCs w:val="21"/>
    </w:rPr>
  </w:style>
  <w:style w:type="numbering" w:customStyle="1" w:styleId="CurrentList7">
    <w:name w:val="Current List7"/>
    <w:uiPriority w:val="99"/>
    <w:rsid w:val="008F5AC6"/>
    <w:pPr>
      <w:numPr>
        <w:numId w:val="16"/>
      </w:numPr>
    </w:pPr>
  </w:style>
  <w:style w:type="numbering" w:customStyle="1" w:styleId="CurrentList8">
    <w:name w:val="Current List8"/>
    <w:uiPriority w:val="99"/>
    <w:rsid w:val="008F5AC6"/>
    <w:pPr>
      <w:numPr>
        <w:numId w:val="17"/>
      </w:numPr>
    </w:pPr>
  </w:style>
  <w:style w:type="numbering" w:customStyle="1" w:styleId="CurrentList9">
    <w:name w:val="Current List9"/>
    <w:uiPriority w:val="99"/>
    <w:rsid w:val="00585726"/>
    <w:pPr>
      <w:numPr>
        <w:numId w:val="19"/>
      </w:numPr>
    </w:pPr>
  </w:style>
  <w:style w:type="character" w:styleId="HTMLCode">
    <w:name w:val="HTML Code"/>
    <w:basedOn w:val="DefaultParagraphFont"/>
    <w:uiPriority w:val="99"/>
    <w:semiHidden/>
    <w:unhideWhenUsed/>
    <w:rsid w:val="00D26C75"/>
    <w:rPr>
      <w:rFonts w:ascii="Courier New" w:eastAsia="Times New Roman" w:hAnsi="Courier New" w:cs="Courier New"/>
      <w:sz w:val="20"/>
      <w:szCs w:val="20"/>
    </w:rPr>
  </w:style>
  <w:style w:type="numbering" w:customStyle="1" w:styleId="CurrentList10">
    <w:name w:val="Current List10"/>
    <w:uiPriority w:val="99"/>
    <w:rsid w:val="00A600AA"/>
    <w:pPr>
      <w:numPr>
        <w:numId w:val="20"/>
      </w:numPr>
    </w:pPr>
  </w:style>
  <w:style w:type="numbering" w:customStyle="1" w:styleId="CurrentList11">
    <w:name w:val="Current List11"/>
    <w:uiPriority w:val="99"/>
    <w:rsid w:val="00A600AA"/>
    <w:pPr>
      <w:numPr>
        <w:numId w:val="21"/>
      </w:numPr>
    </w:pPr>
  </w:style>
  <w:style w:type="numbering" w:customStyle="1" w:styleId="CurrentList12">
    <w:name w:val="Current List12"/>
    <w:uiPriority w:val="99"/>
    <w:rsid w:val="00A600AA"/>
    <w:pPr>
      <w:numPr>
        <w:numId w:val="2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540993">
      <w:bodyDiv w:val="1"/>
      <w:marLeft w:val="0"/>
      <w:marRight w:val="0"/>
      <w:marTop w:val="0"/>
      <w:marBottom w:val="0"/>
      <w:divBdr>
        <w:top w:val="none" w:sz="0" w:space="0" w:color="auto"/>
        <w:left w:val="none" w:sz="0" w:space="0" w:color="auto"/>
        <w:bottom w:val="none" w:sz="0" w:space="0" w:color="auto"/>
        <w:right w:val="none" w:sz="0" w:space="0" w:color="auto"/>
      </w:divBdr>
    </w:div>
    <w:div w:id="517281608">
      <w:bodyDiv w:val="1"/>
      <w:marLeft w:val="0"/>
      <w:marRight w:val="0"/>
      <w:marTop w:val="0"/>
      <w:marBottom w:val="0"/>
      <w:divBdr>
        <w:top w:val="none" w:sz="0" w:space="0" w:color="auto"/>
        <w:left w:val="none" w:sz="0" w:space="0" w:color="auto"/>
        <w:bottom w:val="none" w:sz="0" w:space="0" w:color="auto"/>
        <w:right w:val="none" w:sz="0" w:space="0" w:color="auto"/>
      </w:divBdr>
      <w:divsChild>
        <w:div w:id="1924029891">
          <w:marLeft w:val="0"/>
          <w:marRight w:val="0"/>
          <w:marTop w:val="0"/>
          <w:marBottom w:val="0"/>
          <w:divBdr>
            <w:top w:val="none" w:sz="0" w:space="0" w:color="auto"/>
            <w:left w:val="none" w:sz="0" w:space="0" w:color="auto"/>
            <w:bottom w:val="none" w:sz="0" w:space="0" w:color="auto"/>
            <w:right w:val="none" w:sz="0" w:space="0" w:color="auto"/>
          </w:divBdr>
          <w:divsChild>
            <w:div w:id="463891243">
              <w:marLeft w:val="0"/>
              <w:marRight w:val="0"/>
              <w:marTop w:val="0"/>
              <w:marBottom w:val="0"/>
              <w:divBdr>
                <w:top w:val="none" w:sz="0" w:space="0" w:color="auto"/>
                <w:left w:val="none" w:sz="0" w:space="0" w:color="auto"/>
                <w:bottom w:val="none" w:sz="0" w:space="0" w:color="auto"/>
                <w:right w:val="none" w:sz="0" w:space="0" w:color="auto"/>
              </w:divBdr>
              <w:divsChild>
                <w:div w:id="77444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066881">
      <w:bodyDiv w:val="1"/>
      <w:marLeft w:val="0"/>
      <w:marRight w:val="0"/>
      <w:marTop w:val="0"/>
      <w:marBottom w:val="0"/>
      <w:divBdr>
        <w:top w:val="none" w:sz="0" w:space="0" w:color="auto"/>
        <w:left w:val="none" w:sz="0" w:space="0" w:color="auto"/>
        <w:bottom w:val="none" w:sz="0" w:space="0" w:color="auto"/>
        <w:right w:val="none" w:sz="0" w:space="0" w:color="auto"/>
      </w:divBdr>
    </w:div>
    <w:div w:id="938174048">
      <w:bodyDiv w:val="1"/>
      <w:marLeft w:val="0"/>
      <w:marRight w:val="0"/>
      <w:marTop w:val="0"/>
      <w:marBottom w:val="0"/>
      <w:divBdr>
        <w:top w:val="none" w:sz="0" w:space="0" w:color="auto"/>
        <w:left w:val="none" w:sz="0" w:space="0" w:color="auto"/>
        <w:bottom w:val="none" w:sz="0" w:space="0" w:color="auto"/>
        <w:right w:val="none" w:sz="0" w:space="0" w:color="auto"/>
      </w:divBdr>
    </w:div>
    <w:div w:id="941297939">
      <w:bodyDiv w:val="1"/>
      <w:marLeft w:val="0"/>
      <w:marRight w:val="0"/>
      <w:marTop w:val="0"/>
      <w:marBottom w:val="0"/>
      <w:divBdr>
        <w:top w:val="none" w:sz="0" w:space="0" w:color="auto"/>
        <w:left w:val="none" w:sz="0" w:space="0" w:color="auto"/>
        <w:bottom w:val="none" w:sz="0" w:space="0" w:color="auto"/>
        <w:right w:val="none" w:sz="0" w:space="0" w:color="auto"/>
      </w:divBdr>
    </w:div>
    <w:div w:id="950819619">
      <w:bodyDiv w:val="1"/>
      <w:marLeft w:val="0"/>
      <w:marRight w:val="0"/>
      <w:marTop w:val="0"/>
      <w:marBottom w:val="0"/>
      <w:divBdr>
        <w:top w:val="none" w:sz="0" w:space="0" w:color="auto"/>
        <w:left w:val="none" w:sz="0" w:space="0" w:color="auto"/>
        <w:bottom w:val="none" w:sz="0" w:space="0" w:color="auto"/>
        <w:right w:val="none" w:sz="0" w:space="0" w:color="auto"/>
      </w:divBdr>
    </w:div>
    <w:div w:id="963345657">
      <w:bodyDiv w:val="1"/>
      <w:marLeft w:val="0"/>
      <w:marRight w:val="0"/>
      <w:marTop w:val="0"/>
      <w:marBottom w:val="0"/>
      <w:divBdr>
        <w:top w:val="none" w:sz="0" w:space="0" w:color="auto"/>
        <w:left w:val="none" w:sz="0" w:space="0" w:color="auto"/>
        <w:bottom w:val="none" w:sz="0" w:space="0" w:color="auto"/>
        <w:right w:val="none" w:sz="0" w:space="0" w:color="auto"/>
      </w:divBdr>
    </w:div>
    <w:div w:id="2043051451">
      <w:bodyDiv w:val="1"/>
      <w:marLeft w:val="0"/>
      <w:marRight w:val="0"/>
      <w:marTop w:val="0"/>
      <w:marBottom w:val="0"/>
      <w:divBdr>
        <w:top w:val="none" w:sz="0" w:space="0" w:color="auto"/>
        <w:left w:val="none" w:sz="0" w:space="0" w:color="auto"/>
        <w:bottom w:val="none" w:sz="0" w:space="0" w:color="auto"/>
        <w:right w:val="none" w:sz="0" w:space="0" w:color="auto"/>
      </w:divBdr>
    </w:div>
    <w:div w:id="2134058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world/aroissues/forbes-global-2000-2008-2019/workspace/file?filename=Forbes+Global+2000+-+2019.csv"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79990A-83D9-E34B-8094-C4AA9D079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17</Pages>
  <Words>6518</Words>
  <Characters>37156</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 Keller</dc:creator>
  <cp:keywords/>
  <dc:description/>
  <cp:lastModifiedBy>Fabio Keller</cp:lastModifiedBy>
  <cp:revision>92</cp:revision>
  <dcterms:created xsi:type="dcterms:W3CDTF">2022-02-21T12:51:00Z</dcterms:created>
  <dcterms:modified xsi:type="dcterms:W3CDTF">2022-02-22T12:21:00Z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id="1pNjb8wo"/&gt;&lt;style id="http://www.zotero.org/styles/american-political-science-association" locale="en-US" hasBibliography="1" bibliographyStyleHasBeenSet="1"/&gt;&lt;prefs&gt;&lt;pref name="fieldType" valu</vt:lpwstr>
  </property>
  <property fmtid="{D5CDD505-2E9C-101B-9397-08002B2CF9AE}" pid="3" name="ZOTERO_PREF_2">
    <vt:lpwstr>e="Field"/&gt;&lt;pref name="delayCitationUpdates" value="true"/&gt;&lt;/prefs&gt;&lt;/data&gt;</vt:lpwstr>
  </property>
</Properties>
</file>