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Reindirizzamento a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Categorizzazione – Veicoli</w:t>
        </w:r>
      </w:hyperlink>
      <w:r w:rsidDel="00000000" w:rsidR="00000000" w:rsidRPr="00000000">
        <w:rPr>
          <w:rtl w:val="0"/>
        </w:rPr>
        <w:t xml:space="preserve">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ssistivetech/training_cognitivo/categorizzazione/veicoli/setu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