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p>
      <w:pPr>
        <w:pStyle w:val="Title"/>
      </w:pPr>
      <w:r>
        <w:t>Annual Report</w:t>
      </w:r>
    </w:p>
    <w:p>
      <w:pPr>
        <w:spacing w:before="240" w:after="120"/>
        <w:rPr>
          <w:b/>
          <w:sz w:val="32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b/>
          <w:sz w:val="32"/>
        </w:rPr>
        <w:t>Table of Contents</w:t>
      </w:r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0" w:history="1">
        <w:r>
          <w:rPr>
            <w:noProof/>
          </w:rPr>
          <w:t>Executive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_Toc00000000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226" w:hanging="226"/>
        <w:tabs>
          <w:tab w:val="right" w:pos="9360" w:leader="dot"/>
        </w:tabs>
        <w:rPr>
          <w:noProof/>
        </w:rPr>
      </w:pPr>
      <w:hyperlink w:anchor="_Toc00000001" w:history="1">
        <w:r>
          <w:rPr>
            <w:noProof/>
          </w:rPr>
          <w:t>Highlights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_Toc00000001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226" w:hanging="226"/>
        <w:tabs>
          <w:tab w:val="right" w:pos="9360" w:leader="dot"/>
        </w:tabs>
        <w:rPr>
          <w:noProof/>
        </w:rPr>
      </w:pPr>
      <w:hyperlink w:anchor="_Toc00000002" w:history="1">
        <w:r>
          <w:rPr>
            <w:noProof/>
          </w:rPr>
          <w:t>Regional Performance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_Toc00000002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3" w:history="1">
        <w:r>
          <w:rPr>
            <w:noProof/>
          </w:rPr>
          <w:t>Financials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_Toc00000003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4" w:history="1">
        <w:r>
          <w:rPr>
            <w:noProof/>
          </w:rPr>
          <w:t>Outlook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_Toc00000004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  <w:r>
          <w:fldChar w:fldCharType="end"/>
        </w:r>
      </w:hyperlink>
    </w:p>
    <w:p>
      <w:pPr>
        <w:pStyle w:val="Subtitle"/>
      </w:pPr>
      <w:r>
        <w:t>Fiscal Year 2026</w:t>
      </w:r>
    </w:p>
    <w:p>
      <w:pPr>
        <w:pStyle w:val="Heading1"/>
      </w:pPr>
      <w:bookmarkStart w:id="0" w:name="_Toc00000000"/>
      <w:bookmarkStart w:id="5" w:name="_Toc00000005"/>
      <w:r>
        <w:t>Executive Summary</w:t>
      </w:r>
      <w:bookmarkEnd w:id="0"/>
      <w:bookmarkEnd w:id="5"/>
    </w:p>
    <w:p>
      <w:r>
        <w:t>Revenue grew 12% year over year. Key initiatives shipped on time.</w:t>
      </w:r>
    </w:p>
    <w:p>
      <w:pPr>
        <w:pStyle w:val="Heading2"/>
      </w:pPr>
      <w:bookmarkStart w:id="1" w:name="_Toc00000001"/>
      <w:bookmarkStart w:id="6" w:name="_Toc00000006"/>
      <w:r>
        <w:t>Highlights</w:t>
      </w:r>
      <w:bookmarkEnd w:id="1"/>
      <w:bookmarkEnd w:id="6"/>
    </w:p>
    <w:p>
      <w:r>
        <w:t>Three product lines exceeded their targets.</w:t>
      </w:r>
    </w:p>
    <w:p>
      <w:pPr>
        <w:pStyle w:val="Heading2"/>
      </w:pPr>
      <w:bookmarkStart w:id="2" w:name="_Toc00000002"/>
      <w:bookmarkStart w:id="7" w:name="_Toc00000007"/>
      <w:r>
        <w:t>Regional Performance</w:t>
      </w:r>
      <w:bookmarkEnd w:id="2"/>
      <w:bookmarkEnd w:id="7"/>
    </w:p>
    <w:p>
      <w:r>
        <w:t>Europe led growth, APAC followed closely.</w:t>
      </w:r>
    </w:p>
    <w:p>
      <w:pPr>
        <w:pStyle w:val="Heading1"/>
      </w:pPr>
      <w:bookmarkStart w:id="3" w:name="_Toc00000003"/>
      <w:bookmarkStart w:id="8" w:name="_Toc00000008"/>
      <w:r>
        <w:t>Financials</w:t>
      </w:r>
      <w:bookmarkEnd w:id="3"/>
      <w:bookmarkEnd w:id="8"/>
    </w:p>
    <w:p>
      <w:r>
        <w:t>A summary of the income statement follows.</w:t>
      </w:r>
    </w:p>
    <w:p>
      <w:pPr>
        <w:pStyle w:val="Heading1"/>
      </w:pPr>
      <w:bookmarkStart w:id="4" w:name="_Toc00000004"/>
      <w:bookmarkStart w:id="9" w:name="_Toc00000009"/>
      <w:r>
        <w:t>Outlook</w:t>
      </w:r>
      <w:bookmarkEnd w:id="4"/>
      <w:bookmarkEnd w:id="9"/>
    </w:p>
    <w:p>
      <w:r>
        <w:t>We expect continued momentum into next year.</w:t>
      </w:r>
    </w:p>
    <w:p>
      <w:pPr>
        <w:spacing w:before="240" w:after="120"/>
        <w:rPr>
          <w:b/>
          <w:sz w:val="32"/>
        </w:rPr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b/>
          <w:sz w:val="32"/>
        </w:rPr>
        <w:t>Summary</w:t>
      </w:r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5" w:history="1">
        <w:r>
          <w:rPr>
            <w:noProof/>
          </w:rPr>
          <w:t>Executive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_Toc00000005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226" w:hanging="226"/>
        <w:tabs>
          <w:tab w:val="right" w:pos="9360" w:leader="dot"/>
        </w:tabs>
        <w:rPr>
          <w:noProof/>
        </w:rPr>
      </w:pPr>
      <w:hyperlink w:anchor="_Toc00000006" w:history="1">
        <w:r>
          <w:rPr>
            <w:noProof/>
          </w:rPr>
          <w:t>Highlights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_Toc00000006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226" w:hanging="226"/>
        <w:tabs>
          <w:tab w:val="right" w:pos="9360" w:leader="dot"/>
        </w:tabs>
        <w:rPr>
          <w:noProof/>
        </w:rPr>
      </w:pPr>
      <w:hyperlink w:anchor="_Toc00000007" w:history="1">
        <w:r>
          <w:rPr>
            <w:noProof/>
          </w:rPr>
          <w:t>Regional Performance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_Toc00000007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8" w:history="1">
        <w:r>
          <w:rPr>
            <w:noProof/>
          </w:rPr>
          <w:t>Financials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_Toc00000008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hyperlink>
    </w:p>
    <w:p>
      <w:pPr>
        <w:spacing w:before="0" w:after="0"/>
        <w:ind w:left="0" w:hanging="226"/>
        <w:tabs>
          <w:tab w:val="right" w:pos="9360" w:leader="dot"/>
        </w:tabs>
        <w:rPr>
          <w:noProof/>
        </w:rPr>
      </w:pPr>
      <w:hyperlink w:anchor="_Toc00000009" w:history="1">
        <w:r>
          <w:rPr>
            <w:noProof/>
          </w:rPr>
          <w:t>Outlook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_Toc00000009 \h </w:instrText>
        </w:r>
        <w:r>
          <w:rPr>
            <w:noProof/>
          </w:rP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  <w:r>
          <w:fldChar w:fldCharType="end"/>
        </w:r>
      </w:hyperlink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zoom w:percent="197"/>
  <w:updateFields w:val="true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283"/>
  <w:characterSpacingControl w:val="doNotCompress"/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athPr xmlns="http://schemas.openxmlformats.org/officeDocument/2006/math">
    <mathFont xmlns="http://schemas.openxmlformats.org/officeDocument/2006/math" xmlns:math="http://schemas.openxmlformats.org/officeDocument/2006/math" math:val="Cambria Math"/>
    <brkBin xmlns="http://schemas.openxmlformats.org/officeDocument/2006/math" xmlns:math="http://schemas.openxmlformats.org/officeDocument/2006/math" math:val="before"/>
    <brkBinSub xmlns="http://schemas.openxmlformats.org/officeDocument/2006/math" xmlns:math="http://schemas.openxmlformats.org/officeDocument/2006/math" math:val="--"/>
    <smallFrac xmlns="http://schemas.openxmlformats.org/officeDocument/2006/math" xmlns:math="http://schemas.openxmlformats.org/officeDocument/2006/math" math:val="0"/>
    <dispDef xmlns="http://schemas.openxmlformats.org/officeDocument/2006/math"/>
    <lMargin xmlns="http://schemas.openxmlformats.org/officeDocument/2006/math" xmlns:math="http://schemas.openxmlformats.org/officeDocument/2006/math" math:val="0"/>
    <rMargin xmlns="http://schemas.openxmlformats.org/officeDocument/2006/math" xmlns:math="http://schemas.openxmlformats.org/officeDocument/2006/math" math:val="0"/>
    <defJc xmlns="http://schemas.openxmlformats.org/officeDocument/2006/math" xmlns:math="http://schemas.openxmlformats.org/officeDocument/2006/math" math:val="centerGroup"/>
    <wrapIndent xmlns="http://schemas.openxmlformats.org/officeDocument/2006/math" xmlns:math="http://schemas.openxmlformats.org/officeDocument/2006/math" math:val="1440"/>
    <intLim xmlns="http://schemas.openxmlformats.org/officeDocument/2006/math" xmlns:math="http://schemas.openxmlformats.org/officeDocument/2006/math" math:val="subSup"/>
    <naryLim xmlns="http://schemas.openxmlformats.org/officeDocument/2006/math" xmlns:math="http://schemas.openxmlformats.org/officeDocument/2006/math" math:val="undOvr"/>
  </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