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a="http://schemas.openxmlformats.org/drawingml/2006/main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Normal"/>
      </w:pPr>
    </w:p>
    <w:p>
      <w:pPr>
        <w:pStyle w:val="Title"/>
      </w:pPr>
      <w:r>
        <w:t>Images in Wordingo</w:t>
      </w:r>
    </w:p>
    <w:p>
      <w:pPr>
        <w:pStyle w:val="Heading2"/>
      </w:pPr>
      <w:r>
        <w:t>Embedded Images</w:t>
      </w:r>
    </w:p>
    <w:p>
      <w:r>
        <w:drawing>
          <wp:inline distT="0" distB="0" distL="0" distR="0">
            <wp:extent cx="2743200" cy="1828800"/>
            <wp:effectExtent l="0" t="0" r="0" b="0"/>
            <wp:docPr id="1" name="gradient.png"/>
            <wp:cNvGraphicFramePr>
              <a:graphicFrameLocks noChangeAspect="true"/>
            </wp:cNvGraphicFramePr>
            <a:graphic>
              <a:graphicData uri="http://schemas.openxmlformats.org/drawingml/2006/picture">
                <pic xmlns="http://schemas.openxmlformats.org/drawingml/2006/picture">
                  <nvPicPr xmlns="http://schemas.openxmlformats.org/drawingml/2006/picture">
                    <cNvPr xmlns="http://schemas.openxmlformats.org/drawingml/2006/picture" id="1" name="gradient.png"/>
                    <cNvPicPr xmlns="http://schemas.openxmlformats.org/drawingml/2006/picture" preferRelativeResize="true">
                      <a:picLocks noChangeAspect="true"/>
                    </cNvPicPr>
                  </nvPicPr>
                  <blipFill xmlns="http://schemas.openxmlformats.org/drawingml/2006/picture">
                    <a:blip r:embed="rId6"/>
                    <a:stretch>
                      <a:fillRect/>
                    </a:stretch>
                  </blipFill>
                  <spPr xmlns="http://schemas.openxmlformats.org/drawingml/2006/picture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spPr>
                </pic>
              </a:graphicData>
            </a:graphic>
          </wp:inline>
        </w:drawing>
      </w:r>
    </w:p>
    <w:p>
      <w:r>
        <w:t>The image above is a 100x100 gradient PNG embedded as a DrawingML inline element with a locked aspect ratio and stretch-to-fill behavior.</w:t>
      </w:r>
    </w:p>
    <w:sectPr>
      <w:pgSz w:w="12240" w:h="15840"/>
      <w:pgMar w:top="1440" w:right="1440" w:bottom="1440" w:left="1440"/>
      <w:cols/>
      <w:docGrid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73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73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73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73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Relationship Id="rId6" Type="http://schemas.openxmlformats.org/officeDocument/2006/relationships/image" Target="media/image1.png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