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>
  <w:body>
    <w:p>
      <w:pPr>
        <w:pStyle w:val="Normal"/>
      </w:pPr>
    </w:p>
    <w:p>
      <w:pPr>
        <w:pStyle w:val="Title"/>
      </w:pPr>
      <w:r>
        <w:t>Wordingo: Pure Go Word Documents</w:t>
      </w:r>
    </w:p>
    <w:p>
      <w:pPr>
        <w:pStyle w:val="Subtitle"/>
      </w:pPr>
      <w:r>
        <w:t>A comprehensive demonstration of every library feature</w:t>
      </w:r>
    </w:p>
    <w:p>
      <w:pPr>
        <w:pStyle w:val="Heading1"/>
      </w:pPr>
      <w:r>
        <w:t>1. Text &amp; Styles</w:t>
      </w:r>
    </w:p>
    <w:p>
      <w:r>
        <w:t>Wordingo is a zero-dependency Go library for creating and editing WordprocessingML (.docx) documents. It supports styled paragraphs, tables, images, headers, footers, lists, hyperlinks, and page setup — all in pure Go.</w:t>
      </w:r>
    </w:p>
    <w:p>
      <w:r>
        <w:t xml:space="preserve">Inline formatting: </w:t>
      </w:r>
      <w:r>
        <w:rPr>
          <w:b w:val="true"/>
        </w:rPr>
        <w:t>bold</w:t>
      </w:r>
      <w:r>
        <w:t xml:space="preserve">, </w:t>
      </w:r>
      <w:r>
        <w:rPr>
          <w:i w:val="true"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color w:val="E74C3C"/>
        </w:rPr>
        <w:t>colored text</w:t>
      </w:r>
      <w:r>
        <w:t xml:space="preserve">, and </w:t>
      </w:r>
      <w:r>
        <w:rPr>
          <w:rFonts w:ascii="Courier New" w:hAnsi="Courier New"/>
          <w:sz w:val="20"/>
        </w:rPr>
        <w:t>styled runs</w:t>
      </w:r>
    </w:p>
    <w:p>
      <w:pPr>
        <w:pStyle w:val="Heading1"/>
      </w:pPr>
      <w:r>
        <w:t>2. Tables</w:t>
      </w:r>
    </w:p>
    <w:p>
      <w:pPr>
        <w:pStyle w:val="Heading2"/>
      </w:pPr>
      <w:r>
        <w:t>Simple Grid Table</w:t>
      </w:r>
    </w:p>
    <w:p>
      <w:pPr>
        <w:pStyle w:val="Heading2"/>
      </w:pPr>
      <w:r>
        <w:t>Complex Builder Table</w:t>
      </w:r>
    </w:p>
    <w:p>
      <w:pPr>
        <w:pStyle w:val="Heading1"/>
      </w:pPr>
      <w:r>
        <w:t>3. Images</w:t>
      </w:r>
    </w:p>
    <w:p>
      <w:r>
        <w:drawing>
          <wp:inline distT="0" distB="0" distL="0" distR="0">
            <wp:extent cx="2286000" cy="2286000"/>
            <wp:effectExtent l="0" t="0" r="0" b="0"/>
            <wp:docPr id="1" name="gradient.png"/>
            <wp:cNvGraphicFramePr>
              <a:graphicFrameLocks noChangeAspect="true"/>
            </wp:cNvGraphicFramePr>
            <a:graphic>
              <a:graphicData uri="http://schemas.openxmlformats.org/drawingml/2006/picture">
                <pic xmlns="http://schemas.openxmlformats.org/drawingml/2006/picture">
                  <nvPicPr xmlns="http://schemas.openxmlformats.org/drawingml/2006/picture">
                    <cNvPr xmlns="http://schemas.openxmlformats.org/drawingml/2006/picture" id="1" name="gradient.png"/>
                    <cNvPicPr xmlns="http://schemas.openxmlformats.org/drawingml/2006/picture" preferRelativeResize="true">
                      <a:picLocks noChangeAspect="true"/>
                    </cNvPicPr>
                  </nvPicPr>
                  <blipFill xmlns="http://schemas.openxmlformats.org/drawingml/2006/picture">
                    <a:blip r:embed="rId8"/>
                    <a:stretch>
                      <a:fillRect/>
                    </a:stretch>
                  </blipFill>
                  <spPr xmlns="http://schemas.openxmlformats.org/drawingml/2006/picture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spPr>
                </pic>
              </a:graphicData>
            </a:graphic>
          </wp:inline>
        </w:drawing>
      </w:r>
    </w:p>
    <w:p>
      <w:r>
        <w:t>A 100x100 gradient PNG embedded via DrawingML inline with locked aspect ratio.</w:t>
      </w:r>
    </w:p>
    <w:p>
      <w:pPr>
        <w:pStyle w:val="Heading1"/>
      </w:pPr>
      <w:r>
        <w:t>4. Lists</w:t>
      </w:r>
    </w:p>
    <w:p>
      <w:pPr>
        <w:pStyle w:val="Heading2"/>
      </w:pPr>
      <w:r>
        <w:t>Key Features (Bulleted)</w:t>
      </w:r>
    </w:p>
    <w:p>
      <w:pPr>
        <w:numPr>
          <w:ilvl w:val="0"/>
          <w:numId w:val="1"/>
        </w:numPr>
      </w:pPr>
      <w:r>
        <w:t>Pure Go — zero external dependencies</w:t>
      </w:r>
    </w:p>
    <w:p>
      <w:pPr>
        <w:numPr>
          <w:ilvl w:val="0"/>
          <w:numId w:val="1"/>
        </w:numPr>
      </w:pPr>
      <w:r>
        <w:t>Fluent builder API for tables and lists</w:t>
      </w:r>
    </w:p>
    <w:p>
      <w:pPr>
        <w:numPr>
          <w:ilvl w:val="0"/>
          <w:numId w:val="1"/>
        </w:numPr>
      </w:pPr>
      <w:r>
        <w:t>DrawingML inline images with DPI detection</w:t>
      </w:r>
    </w:p>
    <w:p>
      <w:pPr>
        <w:numPr>
          <w:ilvl w:val="0"/>
          <w:numId w:val="1"/>
        </w:numPr>
      </w:pPr>
      <w:r>
        <w:t>Header/footer support with OPC part creation</w:t>
      </w:r>
    </w:p>
    <w:p>
      <w:pPr>
        <w:numPr>
          <w:ilvl w:val="0"/>
          <w:numId w:val="1"/>
        </w:numPr>
      </w:pPr>
      <w:r>
        <w:t>Page setup (orientation, paper size, margins)</w:t>
      </w:r>
    </w:p>
    <w:p>
      <w:pPr>
        <w:numPr>
          <w:ilvl w:val="0"/>
          <w:numId w:val="1"/>
        </w:numPr>
      </w:pPr>
      <w:r>
        <w:t>External hyperlinks with Run chaining</w:t>
      </w:r>
    </w:p>
    <w:p>
      <w:pPr>
        <w:pStyle w:val="Heading2"/>
      </w:pPr>
      <w:r>
        <w:t>Implementation Plan (Ordered)</w:t>
      </w:r>
    </w:p>
    <w:p>
      <w:pPr>
        <w:numPr>
          <w:ilvl w:val="0"/>
          <w:numId w:val="2"/>
        </w:numPr>
      </w:pPr>
      <w:r>
        <w:t>Foundation: OPC package, styles, basic text</w:t>
      </w:r>
    </w:p>
    <w:p>
      <w:pPr>
        <w:numPr>
          <w:ilvl w:val="0"/>
          <w:numId w:val="2"/>
        </w:numPr>
      </w:pPr>
      <w:r>
        <w:t>Style Engine: clone, resolve, apply</w:t>
      </w:r>
    </w:p>
    <w:p>
      <w:pPr>
        <w:numPr>
          <w:ilvl w:val="0"/>
          <w:numId w:val="2"/>
        </w:numPr>
      </w:pPr>
      <w:r>
        <w:t>Document Model: paragraph, run, formatting</w:t>
      </w:r>
    </w:p>
    <w:p>
      <w:pPr>
        <w:numPr>
          <w:ilvl w:val="0"/>
          <w:numId w:val="2"/>
        </w:numPr>
      </w:pPr>
      <w:r>
        <w:t>Content API: tables, images, headers, lists</w:t>
      </w:r>
    </w:p>
    <w:p>
      <w:pPr>
        <w:numPr>
          <w:ilvl w:val="0"/>
          <w:numId w:val="2"/>
        </w:numPr>
      </w:pPr>
      <w:r>
        <w:t>Rich Content: numbering, hyperlinks, page setup</w:t>
      </w:r>
    </w:p>
    <w:p>
      <w:pPr>
        <w:pStyle w:val="Heading1"/>
      </w:pPr>
      <w:r>
        <w:t>5. Hyperlinks</w:t>
      </w:r>
    </w:p>
    <w:p>
      <w:r>
        <w:t xml:space="preserve">Learn more at </w:t>
      </w:r>
      <w:hyperlink r:id="rId10">
        <w:r>
          <w:rPr>
            <w:u w:val="single"/>
            <w:color w:val="0563C1"/>
          </w:rPr>
          <w:t>GitHub Repository</w:t>
        </w:r>
      </w:hyperlink>
    </w:p>
    <w:p>
      <w:pPr>
        <w:pStyle w:val="Heading1"/>
      </w:pPr>
      <w:r>
        <w:t>6. Page Setup</w:t>
      </w:r>
    </w:p>
    <w:p>
      <w:r>
        <w:t>The first section of this document uses Letter size with portrait orientation and 1-inch margins. Page breaks and landscape sections are demonstrated below.</w:t>
      </w:r>
    </w:p>
    <w:p>
      <w:pPr>
        <w:pageBreakBefore/>
      </w:pPr>
    </w:p>
    <w:p>
      <w:pPr>
        <w:pStyle w:val="Heading1"/>
      </w:pPr>
      <w:r>
        <w:t>Landscape Section</w:t>
      </w:r>
    </w:p>
    <w:p>
      <w:r>
        <w:t>This section uses landscape orientation with 0.5-inch margins. All page setup methods (SetOrientation, SetPaperSize, SetMargins) are chainable on Document.</w:t>
      </w:r>
    </w:p>
    <w:tbl>
      <w:tblPr/>
      <w:tblGrid>
        <w:gridCol/>
        <w:gridCol/>
        <w:gridCol/>
      </w:tblGrid>
      <w:tr>
        <w:tc>
          <w:p>
            <w:r>
              <w:t>Feature</w:t>
            </w:r>
          </w:p>
        </w:tc>
        <w:tc>
          <w:p>
            <w:r>
              <w:t>Status</w:t>
            </w:r>
          </w:p>
        </w:tc>
        <w:tc>
          <w:p>
            <w:r>
              <w:t>Version</w:t>
            </w:r>
          </w:p>
        </w:tc>
      </w:tr>
      <w:tr>
        <w:tc>
          <w:p>
            <w:r>
              <w:t>Paragraphs</w:t>
            </w:r>
          </w:p>
        </w:tc>
        <w:tc>
          <w:p>
            <w:r>
              <w:t>Done</w:t>
            </w:r>
          </w:p>
        </w:tc>
        <w:tc>
          <w:p>
            <w:r>
              <w:t>1.0</w:t>
            </w:r>
          </w:p>
        </w:tc>
      </w:tr>
      <w:tr>
        <w:tc>
          <w:p>
            <w:r>
              <w:t>Tables</w:t>
            </w:r>
          </w:p>
        </w:tc>
        <w:tc>
          <w:p>
            <w:r>
              <w:t>Done</w:t>
            </w:r>
          </w:p>
        </w:tc>
        <w:tc>
          <w:p>
            <w:r>
              <w:t>1.0</w:t>
            </w:r>
          </w:p>
        </w:tc>
      </w:tr>
      <w:tr>
        <w:tc>
          <w:p>
            <w:r>
              <w:t>Images</w:t>
            </w:r>
          </w:p>
        </w:tc>
        <w:tc>
          <w:p>
            <w:r>
              <w:t>Done</w:t>
            </w:r>
          </w:p>
        </w:tc>
        <w:tc>
          <w:p>
            <w:r>
              <w:t>1.0</w:t>
            </w:r>
          </w:p>
        </w:tc>
      </w:tr>
      <w:tr>
        <w:tc>
          <w:p>
            <w:r>
              <w:t>Headers/Footers</w:t>
            </w:r>
          </w:p>
        </w:tc>
        <w:tc>
          <w:p>
            <w:r>
              <w:t>Done</w:t>
            </w:r>
          </w:p>
        </w:tc>
        <w:tc>
          <w:p>
            <w:r>
              <w:t>1.0</w:t>
            </w:r>
          </w:p>
        </w:tc>
      </w:tr>
      <w:tr>
        <w:tc>
          <w:p>
            <w:r>
              <w:t>Lists</w:t>
            </w:r>
          </w:p>
        </w:tc>
        <w:tc>
          <w:p>
            <w:r>
              <w:t>Done</w:t>
            </w:r>
          </w:p>
        </w:tc>
        <w:tc>
          <w:p>
            <w:r>
              <w:t>1.0</w:t>
            </w:r>
          </w:p>
        </w:tc>
      </w:tr>
      <w:tr>
        <w:tc>
          <w:p>
            <w:r>
              <w:t>Hyperlinks</w:t>
            </w:r>
          </w:p>
        </w:tc>
        <w:tc>
          <w:p>
            <w:r>
              <w:t>Done</w:t>
            </w:r>
          </w:p>
        </w:tc>
        <w:tc>
          <w:p>
            <w:r>
              <w:t>1.0</w:t>
            </w:r>
          </w:p>
        </w:tc>
      </w:tr>
    </w:tbl>
    <w:tbl>
      <w:tblPr>
        <w:tblStyle w:val="LightGridAccent1"/>
        <w:tblW w:w="8000" w:type="dxa"/>
        <w:tblBorders>
          <w:top w:val="single" w:sz="8" w:color="2E75B6"/>
          <w:bottom w:val="single" w:sz="8" w:color="2E75B6"/>
        </w:tblBorders>
      </w:tblPr>
      <w:tblGrid/>
      <w:tr>
        <w:tc>
          <w:tcPr>
            <w:tcW w:w="2500" w:type="dxa"/>
            <w:shd w:val="" w:fill="D9E2F3"/>
          </w:tcPr>
          <w:p>
            <w:r>
              <w:rPr>
                <w:b w:val="true"/>
              </w:rPr>
              <w:t>Item</w:t>
            </w:r>
          </w:p>
        </w:tc>
        <w:tc>
          <w:tcPr>
            <w:tcW w:w="3500" w:type="dxa"/>
            <w:shd w:val="" w:fill="D9E2F3"/>
          </w:tcPr>
          <w:p>
            <w:r>
              <w:rPr>
                <w:b w:val="true"/>
              </w:rPr>
              <w:t>Description</w:t>
            </w:r>
          </w:p>
        </w:tc>
        <w:tc>
          <w:tcPr>
            <w:tcW w:w="1000" w:type="dxa"/>
            <w:shd w:val="" w:fill="D9E2F3"/>
          </w:tcPr>
          <w:p>
            <w:r>
              <w:rPr>
                <w:b w:val="true"/>
              </w:rPr>
              <w:t>Price</w:t>
            </w:r>
          </w:p>
        </w:tc>
      </w:tr>
      <w:tr>
        <w:tc>
          <w:p>
            <w:r>
              <w:t>Widget</w:t>
            </w:r>
          </w:p>
        </w:tc>
        <w:tc>
          <w:p>
            <w:r>
              <w:t>A useful widget with many features</w:t>
            </w:r>
          </w:p>
        </w:tc>
        <w:tc>
          <w:p>
            <w:r>
              <w:t>$19.99</w:t>
            </w:r>
          </w:p>
        </w:tc>
      </w:tr>
      <w:tr>
        <w:tc>
          <w:p>
            <w:r>
              <w:t>Gadget</w:t>
            </w:r>
          </w:p>
        </w:tc>
        <w:tc>
          <w:p>
            <w:r>
              <w:t>Portable and lightweight</w:t>
            </w:r>
          </w:p>
        </w:tc>
        <w:tc>
          <w:p>
            <w:r>
              <w:t>$24.99</w:t>
            </w:r>
          </w:p>
        </w:tc>
      </w:tr>
      <w:tr>
        <w:tc>
          <w:p>
            <w:r>
              <w:t>Toolkit</w:t>
            </w:r>
          </w:p>
        </w:tc>
        <w:tc>
          <w:p>
            <w:r>
              <w:t>Complete set of tools</w:t>
            </w:r>
          </w:p>
        </w:tc>
        <w:tc>
          <w:p>
            <w:r>
              <w:t>$49.99</w:t>
            </w:r>
          </w:p>
        </w:tc>
      </w:tr>
    </w:tbl>
    <w:sectPr>
      <w:pgSz w:w="15840" w:h="12240"/>
      <w:pgMar w:top="720" w:right="720" w:bottom="720" w:left="720"/>
      <w:cols/>
      <w:docGrid/>
      <w:headerReference r:id="rId6" w:type="default"/>
      <w:footerReference r:id="rId7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Normal"/>
    </w:pPr>
  </w:p>
  <w:p>
    <w:r>
      <w:t xml:space="preserve">Page </w:t>
    </w:r>
  </w:p>
</w:ftr>
</file>

<file path=word/header1.xml><?xml version="1.0" encoding="utf-8"?>
<w:hdr xmlns:w="http://schemas.openxmlformats.org/wordprocessingml/2006/main">
  <w:p>
    <w:pPr>
      <w:pStyle w:val="Normal"/>
    </w:pPr>
  </w:p>
  <w:p>
    <w:r>
      <w:t>Wordingo Demo Document — Header</w:t>
    </w:r>
  </w:p>
</w:hdr>
</file>

<file path=word/numbering.xml><?xml version="1.0" encoding="utf-8"?>
<w:numbering xmlns:w="http://schemas.openxmlformats.org/wordprocessingml/2006/main">
  <w:num w:numId="1">
    <w:abstractNumId w:val="0"/>
  </w:num>
  <w:num w:numId="2">
    <w:abstractNumId w:val="1"/>
  </w:num>
  <w:abstractNum w:abstractNumId="0">
    <w:lvl w:ilvl="0">
      <w:numFmt w:val="bullet"/>
      <w:lvlText w:val="•"/>
      <w:start w:val="1"/>
    </w:lvl>
    <w:lvl w:ilvl="1">
      <w:numFmt w:val="bullet"/>
      <w:lvlText w:val="◦"/>
      <w:start w:val="1"/>
    </w:lvl>
    <w:lvl w:ilvl="2">
      <w:numFmt w:val="bullet"/>
      <w:lvlText w:val="▪"/>
      <w:start w:val="1"/>
    </w:lvl>
    <w:lvl w:ilvl="3">
      <w:numFmt w:val="bullet"/>
      <w:lvlText w:val="▫"/>
      <w:start w:val="1"/>
    </w:lvl>
    <w:lvl w:ilvl="4">
      <w:numFmt w:val="bullet"/>
      <w:lvlText w:val="•"/>
      <w:start w:val="1"/>
    </w:lvl>
    <w:lvl w:ilvl="5">
      <w:numFmt w:val="bullet"/>
      <w:lvlText w:val="◦"/>
      <w:start w:val="1"/>
    </w:lvl>
    <w:lvl w:ilvl="6">
      <w:numFmt w:val="bullet"/>
      <w:lvlText w:val="▪"/>
      <w:start w:val="1"/>
    </w:lvl>
    <w:lvl w:ilvl="7">
      <w:numFmt w:val="bullet"/>
      <w:lvlText w:val="▫"/>
      <w:start w:val="1"/>
    </w:lvl>
    <w:lvl w:ilvl="8">
      <w:numFmt w:val="bullet"/>
      <w:lvlText w:val="•"/>
      <w:start w:val="1"/>
    </w:lvl>
  </w:abstractNum>
  <w:abstractNum w:abstractNumId="1">
    <w:lvl w:ilvl="0">
      <w:numFmt w:val="decimal"/>
      <w:lvlText w:val="%1."/>
      <w:start w:val="1"/>
    </w:lvl>
    <w:lvl w:ilvl="1">
      <w:numFmt w:val="decimal"/>
      <w:lvlText w:val="%2."/>
      <w:start w:val="1"/>
    </w:lvl>
    <w:lvl w:ilvl="2">
      <w:numFmt w:val="decimal"/>
      <w:lvlText w:val="%3."/>
      <w:start w:val="1"/>
    </w:lvl>
    <w:lvl w:ilvl="3">
      <w:numFmt w:val="decimal"/>
      <w:lvlText w:val="%4."/>
      <w:start w:val="1"/>
    </w:lvl>
    <w:lvl w:ilvl="4">
      <w:numFmt w:val="decimal"/>
      <w:lvlText w:val="%5."/>
      <w:start w:val="1"/>
    </w:lvl>
    <w:lvl w:ilvl="5">
      <w:numFmt w:val="decimal"/>
      <w:lvlText w:val="%6."/>
      <w:start w:val="1"/>
    </w:lvl>
    <w:lvl w:ilvl="6">
      <w:numFmt w:val="decimal"/>
      <w:lvlText w:val="%7."/>
      <w:start w:val="1"/>
    </w:lvl>
    <w:lvl w:ilvl="7">
      <w:numFmt w:val="decimal"/>
      <w:lvlText w:val="%8."/>
      <w:start w:val="1"/>
    </w:lvl>
    <w:lvl w:ilvl="8">
      <w:numFmt w:val="decimal"/>
      <w:lvlText w:val="%9."/>
      <w:start w:val="1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73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73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73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73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Relationship Id="rId6" Type="http://schemas.openxmlformats.org/officeDocument/2006/relationships/header" Target="header1.xml"></Relationship><Relationship Id="rId7" Type="http://schemas.openxmlformats.org/officeDocument/2006/relationships/footer" Target="footer1.xml"></Relationship><Relationship Id="rId8" Type="http://schemas.openxmlformats.org/officeDocument/2006/relationships/image" Target="media/image1.png"></Relationship><Relationship Id="rId9" Type="http://schemas.openxmlformats.org/officeDocument/2006/relationships/numbering" Target="numbering.xml"></Relationship><Relationship Id="rId10" Type="http://schemas.openxmlformats.org/officeDocument/2006/relationships/hyperlink" Target="https://github.com/fabiomarini/wordingo" TargetMode="Externa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