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236"/>
        <w:gridCol w:w="3402"/>
      </w:tblGrid>
      <w:tr>
        <w:tc>
          <w:tcPr>
            <w:tcW w:type="dxa" w:w="4703"/>
            <w:shd w:val="clear" w:color="auto" w:fill="0F2D52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6"/>
              </w:rPr>
              <w:t>JFX ENGENHARIA  |  GESTÃO SMS</w:t>
              <w:br/>
            </w:r>
            <w:r>
              <w:rPr>
                <w:rFonts w:ascii="Calibri" w:hAnsi="Calibri"/>
                <w:color w:val="CCD9EA"/>
                <w:sz w:val="18"/>
              </w:rPr>
              <w:t>EDISER / Petrobras — Blocos B, D e Q</w:t>
            </w:r>
          </w:p>
        </w:tc>
        <w:tc>
          <w:tcPr>
            <w:tcW w:type="dxa" w:w="4703"/>
            <w:shd w:val="clear" w:color="auto" w:fill="E07B2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4"/>
              </w:rPr>
              <w:t>PLANO DE AÇÃO</w:t>
              <w:br/>
            </w:r>
            <w:r>
              <w:rPr>
                <w:rFonts w:ascii="Calibri" w:hAnsi="Calibri"/>
                <w:color w:val="FFFFFF"/>
                <w:sz w:val="20"/>
              </w:rPr>
              <w:t>04 de maio de 2026</w:t>
            </w:r>
          </w:p>
        </w:tc>
      </w:tr>
    </w:tbl>
    <w:p/>
    <w:p>
      <w:pPr>
        <w:spacing w:before="80" w:after="40"/>
        <w:jc w:val="center"/>
      </w:pPr>
      <w:r>
        <w:rPr>
          <w:rFonts w:ascii="Calibri" w:hAnsi="Calibri"/>
          <w:b/>
          <w:color w:val="0F2D52"/>
          <w:sz w:val="28"/>
        </w:rPr>
        <w:t>PRIORIDADES 04/05/2026 — REGULARIZAÇÃO DA GESTÃO SMS</w:t>
      </w:r>
    </w:p>
    <w:p>
      <w:pPr>
        <w:spacing w:after="80"/>
        <w:jc w:val="center"/>
      </w:pPr>
      <w:r>
        <w:rPr>
          <w:rFonts w:ascii="Calibri" w:hAnsi="Calibri"/>
          <w:i/>
          <w:color w:val="555555"/>
          <w:sz w:val="18"/>
        </w:rPr>
        <w:t>Plano de retomada pós-reunião 30/04/2026  ·  Origem: cobrança Petrobras/EDISER</w:t>
      </w:r>
    </w:p>
    <w:p>
      <w:pPr>
        <w:spacing w:before="40" w:after="40"/>
        <w:pBdr>
          <w:bottom w:val="single" w:sz="6" w:space="1" w:color="0F2D52"/>
        </w:pBdr>
      </w:pPr>
    </w:p>
    <w:p>
      <w:pPr>
        <w:spacing w:before="280" w:after="80"/>
      </w:pPr>
      <w:r>
        <w:rPr>
          <w:rFonts w:ascii="Calibri" w:hAnsi="Calibri"/>
          <w:b/>
          <w:color w:val="0F2D52"/>
          <w:sz w:val="28"/>
        </w:rPr>
        <w:t>1. CONTEXTO E MOTIVAÇÃO</w:t>
      </w:r>
    </w:p>
    <w:p>
      <w:pPr>
        <w:spacing w:before="20" w:after="60"/>
      </w:pPr>
      <w:r>
        <w:rPr>
          <w:rFonts w:ascii="Calibri" w:hAnsi="Calibri"/>
          <w:sz w:val="20"/>
        </w:rPr>
        <w:t>Na reunião de Gestão SMS realizada em 30/04/2026, foram identificadas lacunas críticas no sistema de gestão: ausência de indicadores formalizados, programas não iniciados (VCP, Amigos do Peito, Projeto EPI) e necessidade de apresentar números na próxima reunião. Este documento estrutura as ações para regularização completa em três fases até 23/05/2026.</w:t>
      </w:r>
    </w:p>
    <w:p>
      <w:pPr>
        <w:spacing w:before="280" w:after="80"/>
      </w:pPr>
      <w:r>
        <w:rPr>
          <w:rFonts w:ascii="Calibri" w:hAnsi="Calibri"/>
          <w:b/>
          <w:color w:val="0F2D52"/>
          <w:sz w:val="28"/>
        </w:rPr>
        <w:t>2. PRIORIDADES PARA 04/05/2026</w:t>
      </w:r>
    </w:p>
    <w:p>
      <w:pPr>
        <w:spacing w:before="40" w:after="40"/>
        <w:pBdr>
          <w:bottom w:val="single" w:sz="6" w:space="1" w:color="E07B2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1247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2551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AÇÃO</w:t>
            </w:r>
          </w:p>
        </w:tc>
        <w:tc>
          <w:tcPr>
            <w:tcW w:type="dxa" w:w="5102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DESCRIÇÃO / RESPONSÁVEL</w:t>
            </w:r>
          </w:p>
        </w:tc>
      </w:tr>
      <w:tr>
        <w:tc>
          <w:tcPr>
            <w:tcW w:type="dxa" w:w="2351"/>
            <w:shd w:val="clear" w:color="auto" w:fill="F4F7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P1</w:t>
            </w:r>
          </w:p>
        </w:tc>
        <w:tc>
          <w:tcPr>
            <w:tcW w:type="dxa" w:w="2351"/>
            <w:shd w:val="clear" w:color="auto" w:fill="C800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CRÍTICO</w:t>
            </w:r>
          </w:p>
        </w:tc>
        <w:tc>
          <w:tcPr>
            <w:tcW w:type="dxa" w:w="2351"/>
            <w:shd w:val="clear" w:color="auto" w:fill="F4F7FB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Levantar HHT e dias sem acidente</w:t>
            </w:r>
          </w:p>
        </w:tc>
        <w:tc>
          <w:tcPr>
            <w:tcW w:type="dxa" w:w="2351"/>
            <w:shd w:val="clear" w:color="auto" w:fill="F4F7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Contatar Roberta Muniz (TST Adm). Consolidar HHT desde início do contrato. Confirmar data do último acidente ou ausência. Ação desbloqueadora: libera cálculo de TFCA, TAR, TOA e entrega do REM abr/2026.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P2</w:t>
            </w:r>
          </w:p>
        </w:tc>
        <w:tc>
          <w:tcPr>
            <w:tcW w:type="dxa" w:w="2351"/>
            <w:shd w:val="clear" w:color="auto" w:fill="E07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URGENTE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Entregar REM de abril/2026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Prazo: até 05/05/2026 (amanhã). Roberta Muniz responsável. Verificar DDS de 18/04 a 03/05 com Roberta — lançamento retroativo se necessário. Calcular indicadores sobre HHT levantado no P1.</w:t>
            </w:r>
          </w:p>
        </w:tc>
      </w:tr>
      <w:tr>
        <w:tc>
          <w:tcPr>
            <w:tcW w:type="dxa" w:w="2351"/>
            <w:shd w:val="clear" w:color="auto" w:fill="F4F7FB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P3</w:t>
            </w:r>
          </w:p>
        </w:tc>
        <w:tc>
          <w:tcPr>
            <w:tcW w:type="dxa" w:w="2351"/>
            <w:shd w:val="clear" w:color="auto" w:fill="E07B2A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URGENTE</w:t>
            </w:r>
          </w:p>
        </w:tc>
        <w:tc>
          <w:tcPr>
            <w:tcW w:type="dxa" w:w="2351"/>
            <w:shd w:val="clear" w:color="auto" w:fill="F4F7FB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Retomar DDS documentado</w:t>
            </w:r>
          </w:p>
        </w:tc>
        <w:tc>
          <w:tcPr>
            <w:tcW w:type="dxa" w:w="2351"/>
            <w:shd w:val="clear" w:color="auto" w:fill="F4F7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Reiniciar registro diário no Checkbits a partir de 05/05/2026. Garantir formulário com: data, tema, participantes e assinaturas. 34 evidências já registradas (02/03–17/04/2026) — base sólida para auditoria.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P4</w:t>
            </w:r>
          </w:p>
        </w:tc>
        <w:tc>
          <w:tcPr>
            <w:tcW w:type="dxa" w:w="2351"/>
            <w:shd w:val="clear" w:color="auto" w:fill="2E6DA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IMPORTANTE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20"/>
              </w:rPr>
              <w:t>Iniciar o VCP (Verificação Comportamental Preventiva)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Prazo interno: até 09/05/2026. Definir: formulário, responsável (Sheila Ferreira — TST Campo), frequência e meta. VCP é indicador proativo mensal cobrado pela Petrobras.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2D52"/>
          <w:sz w:val="28"/>
        </w:rPr>
        <w:t>3. PLANO DE AÇÃO — REGULARIZAÇÃO SMS</w:t>
      </w:r>
    </w:p>
    <w:p>
      <w:pPr>
        <w:spacing w:before="20" w:after="60"/>
      </w:pPr>
      <w:r>
        <w:rPr>
          <w:rFonts w:ascii="Calibri" w:hAnsi="Calibri"/>
          <w:sz w:val="20"/>
        </w:rPr>
        <w:t>Estruturado em três fases de acordo com criticidade e dependências técnicas:</w:t>
      </w:r>
    </w:p>
    <w:p>
      <w:pPr>
        <w:spacing w:before="40" w:after="40"/>
        <w:pBdr>
          <w:bottom w:val="single" w:sz="6" w:space="1" w:color="E07B2A"/>
        </w:pBdr>
      </w:pPr>
    </w:p>
    <w:p>
      <w:pPr>
        <w:spacing w:before="160" w:after="80"/>
      </w:pPr>
      <w:r>
        <w:rPr>
          <w:rFonts w:ascii="Calibri" w:hAnsi="Calibri"/>
          <w:b/>
          <w:color w:val="E07B2A"/>
          <w:sz w:val="22"/>
        </w:rPr>
        <w:t>FASE 1 — Base de Dados e Indicadores  [04 a 09/05/2026]</w:t>
      </w:r>
    </w:p>
    <w:p>
      <w:pPr>
        <w:spacing w:before="20" w:after="60"/>
        <w:ind w:left="283"/>
      </w:pPr>
      <w:r>
        <w:rPr>
          <w:rFonts w:ascii="Calibri" w:hAnsi="Calibri"/>
          <w:sz w:val="20"/>
        </w:rPr>
        <w:t>Desbloqueador de todos os demais indicadores — Ciclo CHECK (ISO 45001 §9.1).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54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Prazo</w:t>
            </w:r>
          </w:p>
        </w:tc>
        <w:tc>
          <w:tcPr>
            <w:tcW w:type="dxa" w:w="1814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Ação</w:t>
            </w:r>
          </w:p>
        </w:tc>
        <w:tc>
          <w:tcPr>
            <w:tcW w:type="dxa" w:w="1417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Responsável</w:t>
            </w:r>
          </w:p>
        </w:tc>
        <w:tc>
          <w:tcPr>
            <w:tcW w:type="dxa" w:w="1020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855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Detalhamento</w:t>
            </w:r>
          </w:p>
        </w:tc>
      </w:tr>
      <w:tr>
        <w:tc>
          <w:tcPr>
            <w:tcW w:type="dxa" w:w="1568"/>
            <w:shd w:val="clear" w:color="auto" w:fill="FFF5E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1.1</w:t>
            </w:r>
          </w:p>
        </w:tc>
        <w:tc>
          <w:tcPr>
            <w:tcW w:type="dxa" w:w="1568"/>
            <w:shd w:val="clear" w:color="auto" w:fill="FFF5E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E07B2A"/>
                <w:sz w:val="18"/>
              </w:rPr>
              <w:t>04–05/05</w:t>
            </w:r>
          </w:p>
        </w:tc>
        <w:tc>
          <w:tcPr>
            <w:tcW w:type="dxa" w:w="1568"/>
            <w:shd w:val="clear" w:color="auto" w:fill="FFF5E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HHT e dias sem acidente</w:t>
            </w:r>
          </w:p>
        </w:tc>
        <w:tc>
          <w:tcPr>
            <w:tcW w:type="dxa" w:w="1568"/>
            <w:shd w:val="clear" w:color="auto" w:fill="FFF5E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Roberta Muniz</w:t>
            </w:r>
          </w:p>
        </w:tc>
        <w:tc>
          <w:tcPr>
            <w:tcW w:type="dxa" w:w="1568"/>
            <w:shd w:val="clear" w:color="auto" w:fill="2E6DA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Aberto</w:t>
            </w:r>
          </w:p>
        </w:tc>
        <w:tc>
          <w:tcPr>
            <w:tcW w:type="dxa" w:w="1568"/>
            <w:shd w:val="clear" w:color="auto" w:fill="FFF5E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Consolidar HHT desde o início do contrato. Confirmar data do último acidente. Destrava: TFCA, TAR, TOA e REM.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1.2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E07B2A"/>
                <w:sz w:val="18"/>
              </w:rPr>
              <w:t>05/05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REM de abril/2026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Roberta Muniz</w:t>
            </w:r>
          </w:p>
        </w:tc>
        <w:tc>
          <w:tcPr>
            <w:tcW w:type="dxa" w:w="1568"/>
            <w:shd w:val="clear" w:color="auto" w:fill="C8000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PRAZO HOJE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Calcular os 15 indicadores sobre HHT. Entregar à Petrobras até 05/05. Verificar e lançar DDS retroativo 18/04–03/05 se necessário.</w:t>
            </w:r>
          </w:p>
        </w:tc>
      </w:tr>
      <w:tr>
        <w:tc>
          <w:tcPr>
            <w:tcW w:type="dxa" w:w="1568"/>
            <w:shd w:val="clear" w:color="auto" w:fill="FFF5EC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1.3</w:t>
            </w:r>
          </w:p>
        </w:tc>
        <w:tc>
          <w:tcPr>
            <w:tcW w:type="dxa" w:w="1568"/>
            <w:shd w:val="clear" w:color="auto" w:fill="FFF5E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E07B2A"/>
                <w:sz w:val="18"/>
              </w:rPr>
              <w:t>05/05→</w:t>
            </w:r>
          </w:p>
        </w:tc>
        <w:tc>
          <w:tcPr>
            <w:tcW w:type="dxa" w:w="1568"/>
            <w:shd w:val="clear" w:color="auto" w:fill="FFF5EC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Retomada DDS diário</w:t>
            </w:r>
          </w:p>
        </w:tc>
        <w:tc>
          <w:tcPr>
            <w:tcW w:type="dxa" w:w="1568"/>
            <w:shd w:val="clear" w:color="auto" w:fill="FFF5E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Sheila Ferreira / TST</w:t>
            </w:r>
          </w:p>
        </w:tc>
        <w:tc>
          <w:tcPr>
            <w:tcW w:type="dxa" w:w="1568"/>
            <w:shd w:val="clear" w:color="auto" w:fill="2E6DA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Aberto</w:t>
            </w:r>
          </w:p>
        </w:tc>
        <w:tc>
          <w:tcPr>
            <w:tcW w:type="dxa" w:w="1568"/>
            <w:shd w:val="clear" w:color="auto" w:fill="FFF5EC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Registro diário no Checkbits. Formulário com data, tema, participantes e assinaturas.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1.4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E07B2A"/>
                <w:sz w:val="18"/>
              </w:rPr>
              <w:t>até 09/05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VCP — implantação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Sheila Ferreira</w:t>
            </w:r>
          </w:p>
        </w:tc>
        <w:tc>
          <w:tcPr>
            <w:tcW w:type="dxa" w:w="1568"/>
            <w:shd w:val="clear" w:color="auto" w:fill="2E6DA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Aberto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Definir formulário VCP, responsável, frequência mensal e meta de % comportamentos seguros.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E07B2A"/>
          <w:sz w:val="22"/>
        </w:rPr>
        <w:t>FASE 2 — Conformidade Legal e Operacional  [12 a 16/05/2026]</w:t>
      </w:r>
    </w:p>
    <w:p>
      <w:pPr>
        <w:spacing w:before="20" w:after="60"/>
        <w:ind w:left="283"/>
      </w:pPr>
      <w:r>
        <w:rPr>
          <w:rFonts w:ascii="Calibri" w:hAnsi="Calibri"/>
          <w:sz w:val="20"/>
        </w:rPr>
        <w:t>Redução de passivo legal e risco de auditoria Petrobras — Ciclo DO (§2.2, §2.5).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54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Prazo</w:t>
            </w:r>
          </w:p>
        </w:tc>
        <w:tc>
          <w:tcPr>
            <w:tcW w:type="dxa" w:w="1814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Ação</w:t>
            </w:r>
          </w:p>
        </w:tc>
        <w:tc>
          <w:tcPr>
            <w:tcW w:type="dxa" w:w="1417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Responsável</w:t>
            </w:r>
          </w:p>
        </w:tc>
        <w:tc>
          <w:tcPr>
            <w:tcW w:type="dxa" w:w="1020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855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Detalhamento</w:t>
            </w:r>
          </w:p>
        </w:tc>
      </w:tr>
      <w:tr>
        <w:tc>
          <w:tcPr>
            <w:tcW w:type="dxa" w:w="1568"/>
            <w:shd w:val="clear" w:color="auto" w:fill="F0F5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2.1</w:t>
            </w:r>
          </w:p>
        </w:tc>
        <w:tc>
          <w:tcPr>
            <w:tcW w:type="dxa" w:w="1568"/>
            <w:shd w:val="clear" w:color="auto" w:fill="F0F5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E07B2A"/>
                <w:sz w:val="18"/>
              </w:rPr>
              <w:t>12–14/05</w:t>
            </w:r>
          </w:p>
        </w:tc>
        <w:tc>
          <w:tcPr>
            <w:tcW w:type="dxa" w:w="1568"/>
            <w:shd w:val="clear" w:color="auto" w:fill="F0F5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Matriz de certificados NRs</w:t>
            </w:r>
          </w:p>
        </w:tc>
        <w:tc>
          <w:tcPr>
            <w:tcW w:type="dxa" w:w="1568"/>
            <w:shd w:val="clear" w:color="auto" w:fill="F0F5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Roberta Muniz</w:t>
            </w:r>
          </w:p>
        </w:tc>
        <w:tc>
          <w:tcPr>
            <w:tcW w:type="dxa" w:w="1568"/>
            <w:shd w:val="clear" w:color="auto" w:fill="2E6DA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Aberto</w:t>
            </w:r>
          </w:p>
        </w:tc>
        <w:tc>
          <w:tcPr>
            <w:tcW w:type="dxa" w:w="1568"/>
            <w:shd w:val="clear" w:color="auto" w:fill="F0F5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Mapear todos os certificados (NR-10 SEP, NR-33, NR-35, NR-12). Identificar vencidos e a vencer em 30 dias. Gerar matriz com validades.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2.2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E07B2A"/>
                <w:sz w:val="18"/>
              </w:rPr>
              <w:t>15–16/05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Revisão APRs atividades críticas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Sheila Ferreira</w:t>
            </w:r>
          </w:p>
        </w:tc>
        <w:tc>
          <w:tcPr>
            <w:tcW w:type="dxa" w:w="1568"/>
            <w:shd w:val="clear" w:color="auto" w:fill="2E6DA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Aberto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Verificar APR aprovada para cada atividade crítica em execução: Trabalho em Altura (NR-35), Espaço Confinado (NR-33), Elétrica (NR-10). Atualizar documentos desatualizados.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color w:val="E07B2A"/>
          <w:sz w:val="22"/>
        </w:rPr>
        <w:t>FASE 3 — Programas Cobrados na Reunião  [19 a 23/05/2026]</w:t>
      </w:r>
    </w:p>
    <w:p>
      <w:pPr>
        <w:spacing w:before="20" w:after="60"/>
        <w:ind w:left="283"/>
      </w:pPr>
      <w:r>
        <w:rPr>
          <w:rFonts w:ascii="Calibri" w:hAnsi="Calibri"/>
          <w:sz w:val="20"/>
        </w:rPr>
        <w:t>Implantação dos programas apontados como não iniciados — Ciclo PLAN/DO.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454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1020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Prazo</w:t>
            </w:r>
          </w:p>
        </w:tc>
        <w:tc>
          <w:tcPr>
            <w:tcW w:type="dxa" w:w="1814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Ação</w:t>
            </w:r>
          </w:p>
        </w:tc>
        <w:tc>
          <w:tcPr>
            <w:tcW w:type="dxa" w:w="1417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Responsável</w:t>
            </w:r>
          </w:p>
        </w:tc>
        <w:tc>
          <w:tcPr>
            <w:tcW w:type="dxa" w:w="1020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3855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Detalhamento</w:t>
            </w:r>
          </w:p>
        </w:tc>
      </w:tr>
      <w:tr>
        <w:tc>
          <w:tcPr>
            <w:tcW w:type="dxa" w:w="1568"/>
            <w:shd w:val="clear" w:color="auto" w:fill="F5FF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3.1</w:t>
            </w:r>
          </w:p>
        </w:tc>
        <w:tc>
          <w:tcPr>
            <w:tcW w:type="dxa" w:w="1568"/>
            <w:shd w:val="clear" w:color="auto" w:fill="F5FF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E07B2A"/>
                <w:sz w:val="18"/>
              </w:rPr>
              <w:t>19–21/05</w:t>
            </w:r>
          </w:p>
        </w:tc>
        <w:tc>
          <w:tcPr>
            <w:tcW w:type="dxa" w:w="1568"/>
            <w:shd w:val="clear" w:color="auto" w:fill="F5FFF5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Amigos do Peito</w:t>
            </w:r>
          </w:p>
        </w:tc>
        <w:tc>
          <w:tcPr>
            <w:tcW w:type="dxa" w:w="1568"/>
            <w:shd w:val="clear" w:color="auto" w:fill="F5FF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Coord. SMS + Sheila</w:t>
            </w:r>
          </w:p>
        </w:tc>
        <w:tc>
          <w:tcPr>
            <w:tcW w:type="dxa" w:w="1568"/>
            <w:shd w:val="clear" w:color="auto" w:fill="2E6DA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Aberto</w:t>
            </w:r>
          </w:p>
        </w:tc>
        <w:tc>
          <w:tcPr>
            <w:tcW w:type="dxa" w:w="1568"/>
            <w:shd w:val="clear" w:color="auto" w:fill="F5FFF5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Planejar cronograma, designar responsável, definir público-alvo e periodicidade semanal.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3.2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E07B2A"/>
                <w:sz w:val="18"/>
              </w:rPr>
              <w:t>22–23/05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Projeto EPI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Roberta Muniz + Sheila</w:t>
            </w:r>
          </w:p>
        </w:tc>
        <w:tc>
          <w:tcPr>
            <w:tcW w:type="dxa" w:w="1568"/>
            <w:shd w:val="clear" w:color="auto" w:fill="2E6DA4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Aberto</w:t>
            </w:r>
          </w:p>
        </w:tc>
        <w:tc>
          <w:tcPr>
            <w:tcW w:type="dxa" w:w="15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Inventário atual de EPIs, estado de conservação, registros de entrega assinados. Base: NR-6 + procedimento interno JFX.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2D52"/>
          <w:sz w:val="28"/>
        </w:rPr>
        <w:t>4. ENTREGÁVEIS PARA A PRÓXIMA REUNIÃO PETROBRAS</w:t>
      </w:r>
    </w:p>
    <w:p>
      <w:pPr>
        <w:spacing w:before="40" w:after="40"/>
        <w:pBdr>
          <w:bottom w:val="single" w:sz="6" w:space="1" w:color="E07B2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6803"/>
        <w:gridCol w:w="2835"/>
      </w:tblGrid>
      <w:tr>
        <w:tc>
          <w:tcPr>
            <w:tcW w:type="dxa" w:w="4703"/>
            <w:shd w:val="clear" w:color="auto" w:fill="0F2D52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ENTREGÁVEL</w:t>
            </w:r>
          </w:p>
        </w:tc>
        <w:tc>
          <w:tcPr>
            <w:tcW w:type="dxa" w:w="4703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ORIGEM</w:t>
            </w:r>
          </w:p>
        </w:tc>
      </w:tr>
      <w:tr>
        <w:tc>
          <w:tcPr>
            <w:tcW w:type="dxa" w:w="6803"/>
            <w:shd w:val="clear" w:color="auto" w:fill="F4F7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HHT acumulado (desde início do contrato)</w:t>
            </w:r>
          </w:p>
        </w:tc>
        <w:tc>
          <w:tcPr>
            <w:tcW w:type="dxa" w:w="2835"/>
            <w:shd w:val="clear" w:color="auto" w:fill="F4F7FB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Fase 1 — item 1.1</w:t>
            </w:r>
          </w:p>
        </w:tc>
      </w:tr>
      <w:tr>
        <w:tc>
          <w:tcPr>
            <w:tcW w:type="dxa" w:w="6803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Dias sem acidente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Fase 1 — item 1.1</w:t>
            </w:r>
          </w:p>
        </w:tc>
      </w:tr>
      <w:tr>
        <w:tc>
          <w:tcPr>
            <w:tcW w:type="dxa" w:w="6803"/>
            <w:shd w:val="clear" w:color="auto" w:fill="F4F7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Indicadores reativos: TFCA · TAR · TOA</w:t>
            </w:r>
          </w:p>
        </w:tc>
        <w:tc>
          <w:tcPr>
            <w:tcW w:type="dxa" w:w="2835"/>
            <w:shd w:val="clear" w:color="auto" w:fill="F4F7FB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Calculados sobre HHT</w:t>
            </w:r>
          </w:p>
        </w:tc>
      </w:tr>
      <w:tr>
        <w:tc>
          <w:tcPr>
            <w:tcW w:type="dxa" w:w="6803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DDS realizados no mês (evidências Checkbits)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Fase 1 — item 1.3</w:t>
            </w:r>
          </w:p>
        </w:tc>
      </w:tr>
      <w:tr>
        <w:tc>
          <w:tcPr>
            <w:tcW w:type="dxa" w:w="6803"/>
            <w:shd w:val="clear" w:color="auto" w:fill="F4F7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REM de abril/2026 entregue</w:t>
            </w:r>
          </w:p>
        </w:tc>
        <w:tc>
          <w:tcPr>
            <w:tcW w:type="dxa" w:w="2835"/>
            <w:shd w:val="clear" w:color="auto" w:fill="F4F7FB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Fase 1 — item 1.2</w:t>
            </w:r>
          </w:p>
        </w:tc>
      </w:tr>
      <w:tr>
        <w:tc>
          <w:tcPr>
            <w:tcW w:type="dxa" w:w="6803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VCP iniciado + primeiros dados observados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Fase 1 — item 1.4</w:t>
            </w:r>
          </w:p>
        </w:tc>
      </w:tr>
      <w:tr>
        <w:tc>
          <w:tcPr>
            <w:tcW w:type="dxa" w:w="6803"/>
            <w:shd w:val="clear" w:color="auto" w:fill="F4F7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Matriz de certificados com validades</w:t>
            </w:r>
          </w:p>
        </w:tc>
        <w:tc>
          <w:tcPr>
            <w:tcW w:type="dxa" w:w="2835"/>
            <w:shd w:val="clear" w:color="auto" w:fill="F4F7FB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Fase 2 — item 2.1</w:t>
            </w:r>
          </w:p>
        </w:tc>
      </w:tr>
      <w:tr>
        <w:tc>
          <w:tcPr>
            <w:tcW w:type="dxa" w:w="6803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20"/>
              </w:rPr>
              <w:t>Cronograma fases 2 e 3 com responsáveis e prazos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Este documento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0F2D52"/>
          <w:sz w:val="28"/>
        </w:rPr>
        <w:t>5. EQUIPE SMS — CONTRATO EDISER</w:t>
      </w:r>
    </w:p>
    <w:p>
      <w:pPr>
        <w:spacing w:before="40" w:after="40"/>
        <w:pBdr>
          <w:bottom w:val="single" w:sz="6" w:space="1" w:color="E07B2A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268"/>
        <w:gridCol w:w="4535"/>
      </w:tblGrid>
      <w:tr>
        <w:tc>
          <w:tcPr>
            <w:tcW w:type="dxa" w:w="3135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NOME</w:t>
            </w:r>
          </w:p>
        </w:tc>
        <w:tc>
          <w:tcPr>
            <w:tcW w:type="dxa" w:w="3135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FUNÇÃO</w:t>
            </w:r>
          </w:p>
        </w:tc>
        <w:tc>
          <w:tcPr>
            <w:tcW w:type="dxa" w:w="3135"/>
            <w:shd w:val="clear" w:color="auto" w:fill="0F2D52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ATRIBUIÇÃO PRINCIPAL</w:t>
            </w:r>
          </w:p>
        </w:tc>
      </w:tr>
      <w:tr>
        <w:tc>
          <w:tcPr>
            <w:tcW w:type="dxa" w:w="2835"/>
            <w:shd w:val="clear" w:color="auto" w:fill="F4F7FB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Fábio Martins Nascimento</w:t>
            </w:r>
          </w:p>
        </w:tc>
        <w:tc>
          <w:tcPr>
            <w:tcW w:type="dxa" w:w="2268"/>
            <w:shd w:val="clear" w:color="auto" w:fill="F4F7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Coordenador SMS</w:t>
            </w:r>
          </w:p>
        </w:tc>
        <w:tc>
          <w:tcPr>
            <w:tcW w:type="dxa" w:w="4535"/>
            <w:shd w:val="clear" w:color="auto" w:fill="F4F7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Gestão geral, interface Petrobras, liderança do plano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Roberta Muniz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TST Administrativa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REM, HHER, indicadores, treinamentos, CAT, CIPA</w:t>
            </w:r>
          </w:p>
        </w:tc>
      </w:tr>
      <w:tr>
        <w:tc>
          <w:tcPr>
            <w:tcW w:type="dxa" w:w="2835"/>
            <w:shd w:val="clear" w:color="auto" w:fill="F4F7FB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Sheila Ferreira</w:t>
            </w:r>
          </w:p>
        </w:tc>
        <w:tc>
          <w:tcPr>
            <w:tcW w:type="dxa" w:w="2268"/>
            <w:shd w:val="clear" w:color="auto" w:fill="F4F7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TST Campo</w:t>
            </w:r>
          </w:p>
        </w:tc>
        <w:tc>
          <w:tcPr>
            <w:tcW w:type="dxa" w:w="4535"/>
            <w:shd w:val="clear" w:color="auto" w:fill="F4F7FB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DDS, APRs, VCP, AUDICOMP, inspeções de campo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i w:val="0"/>
                <w:color w:val="1A1A1A"/>
                <w:sz w:val="18"/>
              </w:rPr>
              <w:t>Lúcio Saturno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Preposto JFX</w:t>
            </w:r>
          </w:p>
        </w:tc>
        <w:tc>
          <w:tcPr>
            <w:tcW w:type="dxa" w:w="4535"/>
            <w:shd w:val="clear" w:color="auto" w:fill="FFFFFF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i w:val="0"/>
                <w:color w:val="1A1A1A"/>
                <w:sz w:val="18"/>
              </w:rPr>
              <w:t>Liderança, recursos, reuniões formais com Petrobras</w:t>
            </w:r>
          </w:p>
        </w:tc>
      </w:tr>
    </w:tbl>
    <w:p/>
    <w:p>
      <w:pPr>
        <w:spacing w:before="40" w:after="40"/>
        <w:pBdr>
          <w:bottom w:val="single" w:sz="6" w:space="1" w:color="0F2D52"/>
        </w:pBdr>
      </w:pPr>
    </w:p>
    <w:p>
      <w:pPr>
        <w:spacing w:before="80"/>
        <w:jc w:val="center"/>
      </w:pPr>
      <w:r>
        <w:rPr>
          <w:rFonts w:ascii="Calibri" w:hAnsi="Calibri"/>
          <w:color w:val="777777"/>
          <w:sz w:val="16"/>
        </w:rPr>
        <w:t>JFX Engenharia — Coordenação de SMS  |  ICJ 5900.0132378.25.2  |  EDISER / Petrobras</w:t>
        <w:br/>
        <w:t>Documento gerado em 03/05/2026  ·  Uso interno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