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7F1379" w14:textId="77777777" w:rsidR="00565930" w:rsidRDefault="00000000">
      <w:pPr>
        <w:pStyle w:val="Titolo"/>
      </w:pPr>
      <w:r>
        <w:t>The Educational Knowledge Graph as the Cognitive Core of the AI‑Native University</w:t>
      </w:r>
    </w:p>
    <w:p w14:paraId="7E1AEB7C" w14:textId="77777777" w:rsidR="00565930" w:rsidRDefault="00000000">
      <w:pPr>
        <w:pStyle w:val="Sottotitolo"/>
      </w:pPr>
      <w:r>
        <w:t>A scientific, architectural and pedagogical position paper on the DLU Educational Knowledge Graph (EKG)</w:t>
      </w:r>
    </w:p>
    <w:p w14:paraId="69C8EEC7" w14:textId="559B69FC" w:rsidR="00565930" w:rsidRDefault="00000000">
      <w:pPr>
        <w:pStyle w:val="Author"/>
      </w:pPr>
      <w:r>
        <w:t>Prof. </w:t>
      </w:r>
      <w:r w:rsidR="00585521">
        <w:t xml:space="preserve">Ing. </w:t>
      </w:r>
      <w:r>
        <w:t xml:space="preserve">Fabio Mungo </w:t>
      </w:r>
      <w:r w:rsidR="00383404">
        <w:br/>
      </w:r>
      <w:r w:rsidR="00585521">
        <w:t xml:space="preserve">vice Provost of </w:t>
      </w:r>
      <w:r>
        <w:t>St. Thomas University · Global American Learning</w:t>
      </w:r>
      <w:r w:rsidR="00383404">
        <w:t xml:space="preserve"> (NC)</w:t>
      </w:r>
      <w:r w:rsidR="00383404">
        <w:br/>
        <w:t>Head of Department of Applied Artificial Intelligence at eCampus CUIRIF</w:t>
      </w:r>
    </w:p>
    <w:p w14:paraId="5C7D365C" w14:textId="77777777" w:rsidR="00565930" w:rsidRDefault="00000000">
      <w:pPr>
        <w:pStyle w:val="Data"/>
      </w:pPr>
      <w:r>
        <w:t>August 2026</w:t>
      </w:r>
    </w:p>
    <w:p w14:paraId="4A9B611B" w14:textId="77777777" w:rsidR="00565930" w:rsidRDefault="00000000">
      <w:pPr>
        <w:pStyle w:val="Abstract"/>
      </w:pPr>
      <w:r>
        <w:t xml:space="preserve">Introducing artificial intelligence as a layer on top of existing LMS/SIS platforms yields faster administration of an unchanged model. DLU adopts a different hypothesis: to place at the centre not content but knowledge represented as a graph, formally modelled and probabilistically traced. The DLU Educational Knowledge Graph (EKG) is the semantic backbone that makes curriculum, learning outcomes, concepts, competencies, assessments, evidence, mastery and career trajectories machine‑understandable. This paper argues that the </w:t>
      </w:r>
      <w:r w:rsidRPr="00383404">
        <w:rPr>
          <w:i/>
          <w:iCs/>
        </w:rPr>
        <w:t>EKG is the cognitive core</w:t>
      </w:r>
      <w:r>
        <w:t xml:space="preserve"> and </w:t>
      </w:r>
      <w:r w:rsidRPr="00383404">
        <w:rPr>
          <w:i/>
          <w:iCs/>
        </w:rPr>
        <w:t>didactic intelligence of the system</w:t>
      </w:r>
      <w:r>
        <w:t>, and that two modelling decisions — (i) representing prerequisites as a dependency graph (a DAG) and (ii) estimating learner knowledge as a probabilistic latent state with explicit uncertainty (mastery ≠ confidence) — are grounded in the knowledge‑tracing, learning‑analytics and learning‑science literature. We formalise the learner model, present a concrete case (the knowledge graph of a Machine Learning course), and show numerically how knowledge about a student is constructed and how the aggregate learning state then powers faculty use cases.</w:t>
      </w:r>
    </w:p>
    <w:sdt>
      <w:sdtPr>
        <w:rPr>
          <w:rFonts w:asciiTheme="minorHAnsi" w:eastAsiaTheme="minorHAnsi" w:hAnsiTheme="minorHAnsi" w:cstheme="minorBidi"/>
          <w:color w:val="auto"/>
          <w:sz w:val="24"/>
          <w:szCs w:val="24"/>
        </w:rPr>
        <w:id w:val="825550788"/>
        <w:docPartObj>
          <w:docPartGallery w:val="Table of Contents"/>
          <w:docPartUnique/>
        </w:docPartObj>
      </w:sdtPr>
      <w:sdtContent>
        <w:p w14:paraId="45E9220C" w14:textId="77777777" w:rsidR="00565930" w:rsidRDefault="00000000">
          <w:pPr>
            <w:pStyle w:val="Titolosommario"/>
          </w:pPr>
          <w:r>
            <w:t>Table of Contents</w:t>
          </w:r>
        </w:p>
        <w:p w14:paraId="1BCC0D03" w14:textId="77777777" w:rsidR="00565930" w:rsidRDefault="00000000">
          <w:r>
            <w:fldChar w:fldCharType="begin"/>
          </w:r>
          <w:r>
            <w:instrText>TOC \o "1-2" \h \z \u</w:instrText>
          </w:r>
          <w:r>
            <w:fldChar w:fldCharType="separate"/>
          </w:r>
          <w:r>
            <w:fldChar w:fldCharType="end"/>
          </w:r>
        </w:p>
      </w:sdtContent>
    </w:sdt>
    <w:p w14:paraId="7E1C0015" w14:textId="77777777" w:rsidR="00565930" w:rsidRDefault="00000000">
      <w:pPr>
        <w:pStyle w:val="Titolo1"/>
      </w:pPr>
      <w:bookmarkStart w:id="0" w:name="motivation-and-scientific-grounding"/>
      <w:r>
        <w:t>1. Motivation and scientific grounding</w:t>
      </w:r>
      <w:bookmarkEnd w:id="0"/>
    </w:p>
    <w:p w14:paraId="5D4EC1E7" w14:textId="77777777" w:rsidR="00383404" w:rsidRDefault="00000000" w:rsidP="00383404">
      <w:pPr>
        <w:pStyle w:val="FirstParagraph"/>
      </w:pPr>
      <w:r>
        <w:t xml:space="preserve">Bloom (1984) documented that mastery learning with one‑to‑one tutoring shifts outcome distributions by roughly two standard deviations relative to conventional classrooms — an effect historically unaffordable at scale, which AI now makes approachable [Bloom, 1984]. Operationalising mastery learning, however, requires three </w:t>
      </w:r>
      <w:r>
        <w:rPr>
          <w:i/>
        </w:rPr>
        <w:t>measurable</w:t>
      </w:r>
      <w:r>
        <w:t xml:space="preserve"> ingredients that the classical university leaves implicit: </w:t>
      </w:r>
    </w:p>
    <w:p w14:paraId="133C1739" w14:textId="35194D46" w:rsidR="00565930" w:rsidRDefault="00000000" w:rsidP="00383404">
      <w:pPr>
        <w:pStyle w:val="FirstParagraph"/>
        <w:ind w:left="284"/>
      </w:pPr>
      <w:r>
        <w:t xml:space="preserve">(a) a representation of the </w:t>
      </w:r>
      <w:r>
        <w:rPr>
          <w:b/>
        </w:rPr>
        <w:t>structure of knowledge</w:t>
      </w:r>
      <w:r>
        <w:t xml:space="preserve"> (what depends on </w:t>
      </w:r>
      <w:r w:rsidRPr="00383404">
        <w:rPr>
          <w:i/>
          <w:iCs/>
        </w:rPr>
        <w:t>what</w:t>
      </w:r>
      <w:r>
        <w:t xml:space="preserve">), </w:t>
      </w:r>
      <w:r w:rsidR="00383404">
        <w:br/>
      </w:r>
      <w:r>
        <w:t xml:space="preserve">(b) an </w:t>
      </w:r>
      <w:r>
        <w:rPr>
          <w:b/>
        </w:rPr>
        <w:t>estimate of learner state</w:t>
      </w:r>
      <w:r>
        <w:t xml:space="preserve"> updated from evidence, and </w:t>
      </w:r>
      <w:r w:rsidR="00383404">
        <w:br/>
      </w:r>
      <w:r>
        <w:t xml:space="preserve">(c) a </w:t>
      </w:r>
      <w:r>
        <w:rPr>
          <w:b/>
        </w:rPr>
        <w:t>constructive alignment</w:t>
      </w:r>
      <w:r>
        <w:t xml:space="preserve"> of outcome–activity–evidence declared before content [Biggs, 1996].</w:t>
      </w:r>
    </w:p>
    <w:p w14:paraId="0353A746" w14:textId="77777777" w:rsidR="00565930" w:rsidRDefault="00000000">
      <w:pPr>
        <w:pStyle w:val="Corpotesto"/>
      </w:pPr>
      <w:r>
        <w:t xml:space="preserve">Representing the structure of knowledge as a </w:t>
      </w:r>
      <w:r>
        <w:rPr>
          <w:b/>
        </w:rPr>
        <w:t>graph with prerequisite relations</w:t>
      </w:r>
      <w:r>
        <w:t xml:space="preserve"> is the canonical form of an Educational Knowledge Graph: a prerequisite </w:t>
      </w:r>
      <m:oMath>
        <m:r>
          <w:rPr>
            <w:rFonts w:ascii="Cambria Math" w:hAnsi="Cambria Math"/>
          </w:rPr>
          <m:t>A→B</m:t>
        </m:r>
      </m:oMath>
      <w:r>
        <w:t xml:space="preserve"> means </w:t>
      </w:r>
      <m:oMath>
        <m:r>
          <w:rPr>
            <w:rFonts w:ascii="Cambria Math" w:hAnsi="Cambria Math"/>
          </w:rPr>
          <m:t>A</m:t>
        </m:r>
      </m:oMath>
      <w:r>
        <w:t xml:space="preserve"> should be mastered before </w:t>
      </w:r>
      <m:oMath>
        <m:r>
          <w:rPr>
            <w:rFonts w:ascii="Cambria Math" w:hAnsi="Cambria Math"/>
          </w:rPr>
          <m:t>B</m:t>
        </m:r>
      </m:oMath>
      <w:r>
        <w:t xml:space="preserve">, and paths through the graph become learning routes and diagnostic instruments [Chen et al., 2018 (KnowEdu); Abu‑Salih, 2021]. Encoding prerequisites as a </w:t>
      </w:r>
      <w:r>
        <w:rPr>
          <w:b/>
        </w:rPr>
        <w:t>DAG</w:t>
      </w:r>
      <w:r>
        <w:t xml:space="preserve"> </w:t>
      </w:r>
      <w:r>
        <w:lastRenderedPageBreak/>
        <w:t xml:space="preserve">reflects Vygotsky’s </w:t>
      </w:r>
      <w:r>
        <w:rPr>
          <w:i/>
        </w:rPr>
        <w:t>zone of proximal development</w:t>
      </w:r>
      <w:r>
        <w:t xml:space="preserve">: effective intervention acts on the concepts that are </w:t>
      </w:r>
      <w:r>
        <w:rPr>
          <w:i/>
        </w:rPr>
        <w:t>ready</w:t>
      </w:r>
      <w:r>
        <w:t xml:space="preserve"> given the current state [Vygotsky, 1978].</w:t>
      </w:r>
    </w:p>
    <w:p w14:paraId="3B44D96F" w14:textId="3A0D05EE" w:rsidR="00565930" w:rsidRDefault="00000000">
      <w:pPr>
        <w:pStyle w:val="Corpotesto"/>
      </w:pPr>
      <w:r>
        <w:t xml:space="preserve">Estimating a </w:t>
      </w:r>
      <w:r>
        <w:rPr>
          <w:b/>
        </w:rPr>
        <w:t>latent knowledge state</w:t>
      </w:r>
      <w:r>
        <w:t xml:space="preserve"> has a long tradition: Bayesian Knowledge Tracing (BKT) models per‑skill mastery as a two‑state hidden Markov model with four parameters — prior, learn, guess and slip [Corbett &amp; Anderson, 1995]; its logistic extensions (PFA, IRT, Elo) and neural variants (Deep Knowledge Tracing) extend power and flexibility [Pelánek, 2017; Piech et al., 2015; Abdelrahman et al., 2023]. DLU adopts a </w:t>
      </w:r>
      <w:r>
        <w:rPr>
          <w:b/>
        </w:rPr>
        <w:t>Bayesian Beta</w:t>
      </w:r>
      <w:r>
        <w:t xml:space="preserve"> posterior — simpler to explain than BKT, but, unlike classical BKT, it </w:t>
      </w:r>
      <w:r>
        <w:rPr>
          <w:b/>
        </w:rPr>
        <w:t>exposes the uncertainty</w:t>
      </w:r>
      <w:r>
        <w:t xml:space="preserve"> of the estimate (the variance of the Beta), realising an inspectable and contestable </w:t>
      </w:r>
      <w:r>
        <w:rPr>
          <w:i/>
        </w:rPr>
        <w:t>open learner model</w:t>
      </w:r>
      <w:r>
        <w:t xml:space="preserve"> [Bull &amp; Kay, 2010].</w:t>
      </w:r>
    </w:p>
    <w:p w14:paraId="5B564939" w14:textId="77777777" w:rsidR="00565930" w:rsidRDefault="00000000">
      <w:pPr>
        <w:pStyle w:val="Corpotesto"/>
      </w:pPr>
      <w:r>
        <w:t xml:space="preserve">Finally, the </w:t>
      </w:r>
      <w:r>
        <w:rPr>
          <w:b/>
        </w:rPr>
        <w:t>physics of memory</w:t>
      </w:r>
      <w:r>
        <w:t xml:space="preserve"> — Ebbinghaus’s forgetting curve, the testing effect, and desirable difficulties — motivates temporal decay and the choice of effortful activities: spaced repetition and active retrieval improve long‑term retention [Ebbinghaus, 1885; Roediger &amp; Karpicke, 2006; Bjork &amp; Bjork, 2011; Settles &amp; Meeder, 2016].</w:t>
      </w:r>
    </w:p>
    <w:p w14:paraId="1843EEA5" w14:textId="77777777" w:rsidR="00565930" w:rsidRDefault="00000000">
      <w:pPr>
        <w:pStyle w:val="Corpotesto"/>
      </w:pPr>
      <w:r>
        <w:t xml:space="preserve">The design consequence is sharp: </w:t>
      </w:r>
      <w:r>
        <w:rPr>
          <w:b/>
        </w:rPr>
        <w:t>progression is evidence‑driven, not time‑based</w:t>
      </w:r>
      <w:r>
        <w:t xml:space="preserve">, and the unit of truth is the latent state </w:t>
      </w:r>
      <m:oMath>
        <m:r>
          <w:rPr>
            <w:rFonts w:ascii="Cambria Math" w:hAnsi="Cambria Math"/>
          </w:rPr>
          <m:t>(</m:t>
        </m:r>
        <m:r>
          <m:rPr>
            <m:nor/>
          </m:rPr>
          <m:t>mastery</m:t>
        </m:r>
        <m:r>
          <w:rPr>
            <w:rFonts w:ascii="Cambria Math" w:hAnsi="Cambria Math"/>
          </w:rPr>
          <m:t>,</m:t>
        </m:r>
        <m:r>
          <m:rPr>
            <m:nor/>
          </m:rPr>
          <m:t>confidence</m:t>
        </m:r>
        <m:r>
          <w:rPr>
            <w:rFonts w:ascii="Cambria Math" w:hAnsi="Cambria Math"/>
          </w:rPr>
          <m:t>)</m:t>
        </m:r>
      </m:oMath>
      <w:r>
        <w:t xml:space="preserve"> per concept, propagated along the graph toward module/course outcomes (MLO/CLO) and competencies.</w:t>
      </w:r>
    </w:p>
    <w:p w14:paraId="0126E8BE" w14:textId="77777777" w:rsidR="00565930" w:rsidRDefault="00000000">
      <w:pPr>
        <w:pStyle w:val="Titolo1"/>
      </w:pPr>
      <w:bookmarkStart w:id="1" w:name="the-formal-learner-model"/>
      <w:r>
        <w:t>2. The formal learner model</w:t>
      </w:r>
      <w:bookmarkEnd w:id="1"/>
    </w:p>
    <w:p w14:paraId="4CBB685C" w14:textId="77777777" w:rsidR="00565930" w:rsidRDefault="00000000">
      <w:pPr>
        <w:pStyle w:val="Titolo2"/>
      </w:pPr>
      <w:bookmarkStart w:id="2" w:name="evidence-and-its-weighting"/>
      <w:r>
        <w:t>2.1 Evidence and its weighting</w:t>
      </w:r>
      <w:bookmarkEnd w:id="2"/>
    </w:p>
    <w:p w14:paraId="4C9F7920" w14:textId="77777777" w:rsidR="00565930" w:rsidRDefault="00000000">
      <w:pPr>
        <w:pStyle w:val="FirstParagraph"/>
      </w:pPr>
      <w:r>
        <w:t xml:space="preserve">Every activity produces </w:t>
      </w:r>
      <w:r>
        <w:rPr>
          <w:b/>
        </w:rPr>
        <w:t>evidence</w:t>
      </w:r>
      <w:r>
        <w:t xml:space="preserve"> with a normalised score </w:t>
      </w:r>
      <m:oMath>
        <m:r>
          <w:rPr>
            <w:rFonts w:ascii="Cambria Math" w:hAnsi="Cambria Math"/>
          </w:rPr>
          <m:t>s∈[0,1]</m:t>
        </m:r>
      </m:oMath>
      <w:r>
        <w:t xml:space="preserve"> and an effective weight combining instrument quality, evaluator reliability, recency and authenticity:</w:t>
      </w:r>
    </w:p>
    <w:p w14:paraId="1CF68E8E" w14:textId="77777777" w:rsidR="00565930" w:rsidRDefault="00000000">
      <w:pPr>
        <w:pStyle w:val="Corpotes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r>
            <m:rPr>
              <m:nor/>
            </m:rPr>
            <m:t>quality</m:t>
          </m:r>
          <m:r>
            <w:rPr>
              <w:rFonts w:ascii="Cambria Math" w:hAnsi="Cambria Math"/>
            </w:rPr>
            <m:t>⋅</m:t>
          </m:r>
          <m:r>
            <m:rPr>
              <m:nor/>
            </m:rPr>
            <m:t>reliability</m:t>
          </m:r>
          <m:r>
            <w:rPr>
              <w:rFonts w:ascii="Cambria Math" w:hAnsi="Cambria Math"/>
            </w:rPr>
            <m:t>⋅</m:t>
          </m:r>
          <m:r>
            <m:rPr>
              <m:nor/>
            </m:rPr>
            <m:t>recency</m:t>
          </m:r>
          <m:r>
            <w:rPr>
              <w:rFonts w:ascii="Cambria Math" w:hAnsi="Cambria Math"/>
            </w:rPr>
            <m:t>⋅</m:t>
          </m:r>
          <m:r>
            <m:rPr>
              <m:nor/>
            </m:rPr>
            <m:t>authenticity</m:t>
          </m:r>
        </m:oMath>
      </m:oMathPara>
    </w:p>
    <w:p w14:paraId="39C78D77" w14:textId="77777777" w:rsidR="00565930" w:rsidRDefault="00000000">
      <w:pPr>
        <w:pStyle w:val="FirstParagraph"/>
      </w:pPr>
      <m:oMathPara>
        <m:oMathParaPr>
          <m:jc m:val="center"/>
        </m:oMathParaPr>
        <m:oMath>
          <m:r>
            <m:rPr>
              <m:nor/>
            </m:rPr>
            <m:t>effectiveWeight</m:t>
          </m:r>
          <m:r>
            <w:rPr>
              <w:rFonts w:ascii="Cambria Math" w:hAnsi="Cambria Math"/>
            </w:rPr>
            <m:t>=</m:t>
          </m:r>
          <m:r>
            <m:rPr>
              <m:nor/>
            </m:rPr>
            <m:t>baseWeight</m:t>
          </m:r>
          <m:r>
            <w:rPr>
              <w:rFonts w:ascii="Cambria Math" w:hAnsi="Cambria Math"/>
            </w:rPr>
            <m:t>⋅</m:t>
          </m:r>
          <m:r>
            <m:rPr>
              <m:nor/>
            </m:rPr>
            <m:t>reliability</m:t>
          </m:r>
          <m:r>
            <w:rPr>
              <w:rFonts w:ascii="Cambria Math" w:hAnsi="Cambria Math"/>
            </w:rPr>
            <m:t>⋅</m:t>
          </m:r>
          <m:r>
            <m:rPr>
              <m:nor/>
            </m:rPr>
            <m:t>authenticity</m:t>
          </m:r>
          <m:r>
            <w:rPr>
              <w:rFonts w:ascii="Cambria Math" w:hAnsi="Cambria Math"/>
            </w:rPr>
            <m:t>⋅</m:t>
          </m:r>
          <m:r>
            <m:rPr>
              <m:nor/>
            </m:rPr>
            <m:t>recency</m:t>
          </m:r>
          <m:r>
            <w:rPr>
              <w:rFonts w:ascii="Cambria Math" w:hAnsi="Cambria Math"/>
            </w:rPr>
            <m:t>⋅</m:t>
          </m:r>
          <m:r>
            <m:rPr>
              <m:nor/>
            </m:rPr>
            <m:t>difficultyCalibration</m:t>
          </m:r>
        </m:oMath>
      </m:oMathPara>
    </w:p>
    <w:p w14:paraId="1AE9C045" w14:textId="77777777" w:rsidR="00383404" w:rsidRDefault="00000000">
      <w:pPr>
        <w:pStyle w:val="FirstParagraph"/>
      </w:pPr>
      <w:r>
        <w:t xml:space="preserve">DLU distinguishes three classes: </w:t>
      </w:r>
    </w:p>
    <w:p w14:paraId="523E486D" w14:textId="77777777" w:rsidR="00383404" w:rsidRDefault="00000000" w:rsidP="00383404">
      <w:pPr>
        <w:pStyle w:val="FirstParagraph"/>
        <w:numPr>
          <w:ilvl w:val="0"/>
          <w:numId w:val="3"/>
        </w:numPr>
      </w:pPr>
      <w:r>
        <w:rPr>
          <w:b/>
        </w:rPr>
        <w:t>QualifiedEvidence</w:t>
      </w:r>
      <w:r>
        <w:t xml:space="preserve"> (graded item, rubric, authenticated assessment) updates high‑stakes mastery; </w:t>
      </w:r>
    </w:p>
    <w:p w14:paraId="10EB27EA" w14:textId="77777777" w:rsidR="00383404" w:rsidRDefault="00000000" w:rsidP="00383404">
      <w:pPr>
        <w:pStyle w:val="FirstParagraph"/>
        <w:numPr>
          <w:ilvl w:val="0"/>
          <w:numId w:val="3"/>
        </w:numPr>
      </w:pPr>
      <w:r>
        <w:rPr>
          <w:b/>
        </w:rPr>
        <w:t>TutorEvidence</w:t>
      </w:r>
      <w:r>
        <w:t xml:space="preserve"> (a tutor micro‑assessment) carries a </w:t>
      </w:r>
      <w:r>
        <w:rPr>
          <w:i/>
        </w:rPr>
        <w:t>capped</w:t>
      </w:r>
      <w:r>
        <w:t xml:space="preserve"> weight; </w:t>
      </w:r>
    </w:p>
    <w:p w14:paraId="378AEAB1" w14:textId="3A6D5F3B" w:rsidR="00565930" w:rsidRDefault="00000000" w:rsidP="00383404">
      <w:pPr>
        <w:pStyle w:val="FirstParagraph"/>
        <w:numPr>
          <w:ilvl w:val="0"/>
          <w:numId w:val="3"/>
        </w:numPr>
      </w:pPr>
      <w:r>
        <w:rPr>
          <w:b/>
        </w:rPr>
        <w:t>InformalSignal</w:t>
      </w:r>
      <w:r>
        <w:t xml:space="preserve"> (hesitation, explanation quality) drives only diagnosis and planning. </w:t>
      </w:r>
      <w:r>
        <w:rPr>
          <w:i/>
        </w:rPr>
        <w:t>TutorEvidence cannot override authoritative grades.</w:t>
      </w:r>
    </w:p>
    <w:p w14:paraId="32AE22A2" w14:textId="77777777" w:rsidR="00383404" w:rsidRDefault="00383404">
      <w:pPr>
        <w:rPr>
          <w:rFonts w:asciiTheme="majorHAnsi" w:eastAsiaTheme="majorEastAsia" w:hAnsiTheme="majorHAnsi" w:cstheme="majorBidi"/>
          <w:b/>
          <w:bCs/>
          <w:color w:val="4F81BD" w:themeColor="accent1"/>
          <w:sz w:val="28"/>
          <w:szCs w:val="28"/>
        </w:rPr>
      </w:pPr>
      <w:bookmarkStart w:id="3" w:name="mastery-estimation-beta-posterior"/>
      <w:r>
        <w:br w:type="page"/>
      </w:r>
    </w:p>
    <w:p w14:paraId="675A67AF" w14:textId="13CCCBAB" w:rsidR="00565930" w:rsidRDefault="00000000">
      <w:pPr>
        <w:pStyle w:val="Titolo2"/>
      </w:pPr>
      <w:r>
        <w:lastRenderedPageBreak/>
        <w:t>2.2 Mastery estimation (Beta posterior)</w:t>
      </w:r>
      <w:bookmarkEnd w:id="3"/>
    </w:p>
    <w:p w14:paraId="1248872F" w14:textId="77777777" w:rsidR="00565930" w:rsidRDefault="00000000">
      <w:pPr>
        <w:pStyle w:val="FirstParagraph"/>
      </w:pPr>
      <w:r>
        <w:t xml:space="preserve">For a pair (learner </w:t>
      </w:r>
      <m:oMath>
        <m:r>
          <w:rPr>
            <w:rFonts w:ascii="Cambria Math" w:hAnsi="Cambria Math"/>
          </w:rPr>
          <m:t>u</m:t>
        </m:r>
      </m:oMath>
      <w:r>
        <w:t xml:space="preserve">, target </w:t>
      </w:r>
      <m:oMath>
        <m:r>
          <w:rPr>
            <w:rFonts w:ascii="Cambria Math" w:hAnsi="Cambria Math"/>
          </w:rPr>
          <m:t>k</m:t>
        </m:r>
      </m:oMath>
      <w:r>
        <w:t xml:space="preserve">) we maintain a Beta </w:t>
      </w:r>
      <m:oMath>
        <m:r>
          <w:rPr>
            <w:rFonts w:ascii="Cambria Math" w:hAnsi="Cambria Math"/>
          </w:rPr>
          <m:t>(α,β)</m:t>
        </m:r>
      </m:oMath>
      <w:r>
        <w:t xml:space="preserve">. Given evidence </w:t>
      </w:r>
      <m:oMath>
        <m:r>
          <w:rPr>
            <w:rFonts w:ascii="Cambria Math" w:hAnsi="Cambria Math"/>
          </w:rPr>
          <m:t>(s,</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oMath>
      <w:r>
        <w:t>:</w:t>
      </w:r>
    </w:p>
    <w:p w14:paraId="0376CB0D" w14:textId="77777777" w:rsidR="00565930" w:rsidRDefault="00000000">
      <w:pPr>
        <w:pStyle w:val="Corpotesto"/>
      </w:pPr>
      <m:oMathPara>
        <m:oMathParaPr>
          <m:jc m:val="center"/>
        </m:oMathParaPr>
        <m:oMath>
          <m:r>
            <w:rPr>
              <w:rFonts w:ascii="Cambria Math" w:hAnsi="Cambria Math"/>
            </w:rPr>
            <m:t>α←α+</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 s,  β←β+</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 (1-s)</m:t>
          </m:r>
        </m:oMath>
      </m:oMathPara>
    </w:p>
    <w:p w14:paraId="7F58754E" w14:textId="77777777" w:rsidR="00565930" w:rsidRDefault="00000000">
      <w:pPr>
        <w:pStyle w:val="FirstParagraph"/>
      </w:pPr>
      <m:oMathPara>
        <m:oMathParaPr>
          <m:jc m:val="center"/>
        </m:oMathParaPr>
        <m:oMath>
          <m:r>
            <w:rPr>
              <w:rFonts w:ascii="Cambria Math" w:hAnsi="Cambria Math"/>
            </w:rPr>
            <m:t>M=</m:t>
          </m:r>
          <m:f>
            <m:fPr>
              <m:ctrlPr>
                <w:rPr>
                  <w:rFonts w:ascii="Cambria Math" w:hAnsi="Cambria Math"/>
                </w:rPr>
              </m:ctrlPr>
            </m:fPr>
            <m:num>
              <m:r>
                <w:rPr>
                  <w:rFonts w:ascii="Cambria Math" w:hAnsi="Cambria Math"/>
                </w:rPr>
                <m:t>α</m:t>
              </m:r>
            </m:num>
            <m:den>
              <m:r>
                <w:rPr>
                  <w:rFonts w:ascii="Cambria Math" w:hAnsi="Cambria Math"/>
                </w:rPr>
                <m:t>α+β</m:t>
              </m:r>
            </m:den>
          </m:f>
          <m:r>
            <w:rPr>
              <w:rFonts w:ascii="Cambria Math" w:hAnsi="Cambria Math"/>
            </w:rPr>
            <m:t>,  </m:t>
          </m:r>
          <m:r>
            <m:rPr>
              <m:sty m:val="p"/>
            </m:rPr>
            <w:rPr>
              <w:rFonts w:ascii="Cambria Math" w:hAnsi="Cambria Math"/>
            </w:rPr>
            <m:t>Var</m:t>
          </m:r>
          <m:r>
            <w:rPr>
              <w:rFonts w:ascii="Cambria Math" w:hAnsi="Cambria Math"/>
            </w:rPr>
            <m:t>=</m:t>
          </m:r>
          <m:f>
            <m:fPr>
              <m:ctrlPr>
                <w:rPr>
                  <w:rFonts w:ascii="Cambria Math" w:hAnsi="Cambria Math"/>
                </w:rPr>
              </m:ctrlPr>
            </m:fPr>
            <m:num>
              <m:r>
                <w:rPr>
                  <w:rFonts w:ascii="Cambria Math" w:hAnsi="Cambria Math"/>
                </w:rPr>
                <m:t>αβ</m:t>
              </m:r>
            </m:num>
            <m:den>
              <m:r>
                <w:rPr>
                  <w:rFonts w:ascii="Cambria Math" w:hAnsi="Cambria Math"/>
                </w:rPr>
                <m:t>(α+β</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(α+β+1)</m:t>
              </m:r>
            </m:den>
          </m:f>
          <m:r>
            <w:rPr>
              <w:rFonts w:ascii="Cambria Math" w:hAnsi="Cambria Math"/>
            </w:rPr>
            <m:t>,  C=1-2</m:t>
          </m:r>
          <m:rad>
            <m:radPr>
              <m:degHide m:val="1"/>
              <m:ctrlPr>
                <w:rPr>
                  <w:rFonts w:ascii="Cambria Math" w:hAnsi="Cambria Math"/>
                </w:rPr>
              </m:ctrlPr>
            </m:radPr>
            <m:deg/>
            <m:e>
              <m:r>
                <m:rPr>
                  <m:sty m:val="p"/>
                </m:rPr>
                <w:rPr>
                  <w:rFonts w:ascii="Cambria Math" w:hAnsi="Cambria Math"/>
                </w:rPr>
                <m:t>Var</m:t>
              </m:r>
            </m:e>
          </m:rad>
        </m:oMath>
      </m:oMathPara>
    </w:p>
    <w:p w14:paraId="7F992B64" w14:textId="77777777" w:rsidR="00565930" w:rsidRDefault="00000000">
      <w:pPr>
        <w:pStyle w:val="FirstParagraph"/>
      </w:pPr>
      <m:oMath>
        <m:r>
          <w:rPr>
            <w:rFonts w:ascii="Cambria Math" w:hAnsi="Cambria Math"/>
          </w:rPr>
          <m:t>M</m:t>
        </m:r>
      </m:oMath>
      <w:r>
        <w:t xml:space="preserve"> (mastery) and </w:t>
      </w:r>
      <m:oMath>
        <m:r>
          <w:rPr>
            <w:rFonts w:ascii="Cambria Math" w:hAnsi="Cambria Math"/>
          </w:rPr>
          <m:t>C</m:t>
        </m:r>
      </m:oMath>
      <w:r>
        <w:t xml:space="preserve"> (confidence) </w:t>
      </w:r>
      <w:r>
        <w:rPr>
          <w:b/>
        </w:rPr>
        <w:t>must never be collapsed</w:t>
      </w:r>
      <w:r>
        <w:t xml:space="preserve">: </w:t>
      </w:r>
      <m:oMath>
        <m:r>
          <w:rPr>
            <w:rFonts w:ascii="Cambria Math" w:hAnsi="Cambria Math"/>
          </w:rPr>
          <m:t>(M=.90,C=.25)</m:t>
        </m:r>
      </m:oMath>
      <w:r>
        <w:t xml:space="preserve"> (“promising but under‑evidenced”) differs from </w:t>
      </w:r>
      <m:oMath>
        <m:r>
          <w:rPr>
            <w:rFonts w:ascii="Cambria Math" w:hAnsi="Cambria Math"/>
          </w:rPr>
          <m:t>(M=.90,C=.95)</m:t>
        </m:r>
      </m:oMath>
      <w:r>
        <w:t xml:space="preserve"> (“stable strength”) [Bull &amp; Kay, 2010]. Temporal decay is applied at query time to immutable observations (analogous to the forgetting curve / half‑life regression) [Settles &amp; Meeder, 2016].</w:t>
      </w:r>
    </w:p>
    <w:p w14:paraId="3222977C" w14:textId="77777777" w:rsidR="00565930" w:rsidRDefault="00000000">
      <w:pPr>
        <w:pStyle w:val="Corpotesto"/>
      </w:pPr>
      <w:r>
        <w:rPr>
          <w:i/>
        </w:rPr>
        <w:t>Relation to BKT.</w:t>
      </w:r>
      <w:r>
        <w:t xml:space="preserve"> BKT estimates </w:t>
      </w:r>
      <m:oMath>
        <m:r>
          <w:rPr>
            <w:rFonts w:ascii="Cambria Math" w:hAnsi="Cambria Math"/>
          </w:rPr>
          <m:t>P(L)</m:t>
        </m:r>
      </m:oMath>
      <w:r>
        <w:t xml:space="preserve"> via a hidden Markov model with guess/slip [Corbett &amp; Anderson, 1995]. The Beta formulation is a conjugate relative in which slip/guess are absorbed into </w:t>
      </w:r>
      <m:oMath>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 s</m:t>
        </m:r>
      </m:oMath>
      <w:r>
        <w:t xml:space="preserve">; the added value is the </w:t>
      </w:r>
      <w:r>
        <w:rPr>
          <w:b/>
        </w:rPr>
        <w:t>explicit variance</w:t>
      </w:r>
      <w:r>
        <w:t xml:space="preserve"> as a confidence measure — absent from single‑valued BKT and crucial for deciding </w:t>
      </w:r>
      <w:r>
        <w:rPr>
          <w:i/>
        </w:rPr>
        <w:t>when more evidence is needed before recommending</w:t>
      </w:r>
      <w:r>
        <w:t>.</w:t>
      </w:r>
    </w:p>
    <w:p w14:paraId="741A4922" w14:textId="77777777" w:rsidR="00565930" w:rsidRDefault="00000000">
      <w:pPr>
        <w:pStyle w:val="Titolo2"/>
      </w:pPr>
      <w:bookmarkStart w:id="4" w:name="Xcf17057e3cfa1dd520d9cb0b86bc7a97c178d72"/>
      <w:r>
        <w:t>2.3 Hierarchical propagation and prerequisite readiness</w:t>
      </w:r>
      <w:bookmarkEnd w:id="4"/>
    </w:p>
    <w:p w14:paraId="2F749C6E" w14:textId="77777777" w:rsidR="00565930" w:rsidRDefault="00000000">
      <w:pPr>
        <w:pStyle w:val="FirstParagraph"/>
      </w:pPr>
      <w:r>
        <w:t xml:space="preserve">Concept mastery propagates toward MLO → CLO → Skill with weights </w:t>
      </w:r>
      <m:oMath>
        <m:r>
          <w:rPr>
            <w:rFonts w:ascii="Cambria Math" w:hAnsi="Cambria Math"/>
          </w:rPr>
          <m:t>π</m:t>
        </m:r>
      </m:oMath>
      <w:r>
        <w:t xml:space="preserve"> and is </w:t>
      </w:r>
      <w:r>
        <w:rPr>
          <w:b/>
        </w:rPr>
        <w:t>capped</w:t>
      </w:r>
      <w:r>
        <w:t xml:space="preserve"> by prerequisite readiness (DAG):</w:t>
      </w:r>
    </w:p>
    <w:p w14:paraId="27A20433" w14:textId="77777777" w:rsidR="00565930" w:rsidRDefault="00000000">
      <w:pPr>
        <w:pStyle w:val="Corpotesto"/>
      </w:pPr>
      <m:oMathPara>
        <m:oMathParaPr>
          <m:jc m:val="center"/>
        </m:oMathParaPr>
        <m:oMath>
          <m:r>
            <m:rPr>
              <m:nor/>
            </m:rPr>
            <m:t>readiness</m:t>
          </m:r>
          <m:r>
            <w:rPr>
              <w:rFonts w:ascii="Cambria Math" w:hAnsi="Cambria Math"/>
            </w:rPr>
            <m:t>(k)=</m:t>
          </m:r>
          <m:nary>
            <m:naryPr>
              <m:chr m:val="∏"/>
              <m:limLoc m:val="undOvr"/>
              <m:supHide m:val="1"/>
              <m:ctrlPr>
                <w:rPr>
                  <w:rFonts w:ascii="Cambria Math" w:hAnsi="Cambria Math"/>
                </w:rPr>
              </m:ctrlPr>
            </m:naryPr>
            <m:sub>
              <m:r>
                <w:rPr>
                  <w:rFonts w:ascii="Cambria Math" w:hAnsi="Cambria Math"/>
                </w:rPr>
                <m:t>p ∈ </m:t>
              </m:r>
              <m:r>
                <m:rPr>
                  <m:nor/>
                </m:rPr>
                <m:t>pre</m:t>
              </m:r>
              <m:r>
                <w:rPr>
                  <w:rFonts w:ascii="Cambria Math" w:hAnsi="Cambria Math"/>
                </w:rPr>
                <m:t>(k)</m:t>
              </m:r>
            </m:sub>
            <m:sup>
              <m:r>
                <w:rPr>
                  <w:rFonts w:ascii="Cambria Math" w:hAnsi="Cambria Math"/>
                </w:rPr>
                <m:t>​</m:t>
              </m:r>
            </m:sup>
            <m:e>
              <m:r>
                <w:rPr>
                  <w:rFonts w:ascii="Cambria Math" w:hAnsi="Cambria Math"/>
                </w:rPr>
                <m:t>E</m:t>
              </m:r>
            </m:e>
          </m:nary>
          <m:r>
            <w:rPr>
              <w:rFonts w:ascii="Cambria Math" w:hAnsi="Cambria Math"/>
            </w:rPr>
            <m:t>(p),  M(</m:t>
          </m:r>
          <m:sSub>
            <m:sSubPr>
              <m:ctrlPr>
                <w:rPr>
                  <w:rFonts w:ascii="Cambria Math" w:hAnsi="Cambria Math"/>
                </w:rPr>
              </m:ctrlPr>
            </m:sSubPr>
            <m:e>
              <m:r>
                <m:rPr>
                  <m:nor/>
                </m:rPr>
                <m:t>MLO</m:t>
              </m:r>
            </m:e>
            <m:sub>
              <m:r>
                <w:rPr>
                  <w:rFonts w:ascii="Cambria Math" w:hAnsi="Cambria Math"/>
                </w:rPr>
                <m:t>j</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jk</m:t>
                  </m:r>
                </m:sub>
              </m:sSub>
            </m:e>
          </m:nary>
          <m:r>
            <w:rPr>
              <w:rFonts w:ascii="Cambria Math" w:hAnsi="Cambria Math"/>
            </w:rPr>
            <m:t> M(k))⋅</m:t>
          </m:r>
          <m:r>
            <m:rPr>
              <m:nor/>
            </m:rPr>
            <m:t>min</m:t>
          </m:r>
          <m:r>
            <w:rPr>
              <w:rFonts w:ascii="Cambria Math" w:hAnsi="Cambria Math"/>
            </w:rPr>
            <m:t>(1, </m:t>
          </m:r>
          <m:r>
            <m:rPr>
              <m:nor/>
            </m:rPr>
            <m:t>readiness</m:t>
          </m:r>
          <m:r>
            <w:rPr>
              <w:rFonts w:ascii="Cambria Math" w:hAnsi="Cambria Math"/>
            </w:rPr>
            <m:t>(</m:t>
          </m:r>
          <m:sSub>
            <m:sSubPr>
              <m:ctrlPr>
                <w:rPr>
                  <w:rFonts w:ascii="Cambria Math" w:hAnsi="Cambria Math"/>
                </w:rPr>
              </m:ctrlPr>
            </m:sSubPr>
            <m:e>
              <m:r>
                <m:rPr>
                  <m:nor/>
                </m:rPr>
                <m:t>MLO</m:t>
              </m:r>
            </m:e>
            <m:sub>
              <m:r>
                <w:rPr>
                  <w:rFonts w:ascii="Cambria Math" w:hAnsi="Cambria Math"/>
                </w:rPr>
                <m:t>j</m:t>
              </m:r>
            </m:sub>
          </m:sSub>
          <m:r>
            <w:rPr>
              <w:rFonts w:ascii="Cambria Math" w:hAnsi="Cambria Math"/>
            </w:rPr>
            <m:t>))</m:t>
          </m:r>
        </m:oMath>
      </m:oMathPara>
    </w:p>
    <w:p w14:paraId="0D87E302" w14:textId="77777777" w:rsidR="00565930" w:rsidRDefault="00000000">
      <w:pPr>
        <w:pStyle w:val="FirstParagraph"/>
      </w:pPr>
      <w:r>
        <w:t xml:space="preserve">where </w:t>
      </w:r>
      <m:oMath>
        <m:r>
          <w:rPr>
            <w:rFonts w:ascii="Cambria Math" w:hAnsi="Cambria Math"/>
          </w:rPr>
          <m:t>E</m:t>
        </m:r>
      </m:oMath>
      <w:r>
        <w:t xml:space="preserve"> is the </w:t>
      </w:r>
      <w:r>
        <w:rPr>
          <w:b/>
        </w:rPr>
        <w:t>confidence‑sensitive effective mastery</w:t>
      </w:r>
      <w:r>
        <w:t>:</w:t>
      </w:r>
    </w:p>
    <w:p w14:paraId="311C8C55" w14:textId="77777777" w:rsidR="00565930" w:rsidRDefault="00000000">
      <w:pPr>
        <w:pStyle w:val="Corpotesto"/>
      </w:pPr>
      <m:oMathPara>
        <m:oMathParaPr>
          <m:jc m:val="center"/>
        </m:oMathParaPr>
        <m:oMath>
          <m:r>
            <w:rPr>
              <w:rFonts w:ascii="Cambria Math" w:hAnsi="Cambria Math"/>
            </w:rPr>
            <m:t>E=M(γ+(1-γ) C), γ∈[0,1],  </m:t>
          </m:r>
          <m:r>
            <m:rPr>
              <m:nor/>
            </m:rPr>
            <m:t>gap</m:t>
          </m:r>
          <m:r>
            <w:rPr>
              <w:rFonts w:ascii="Cambria Math" w:hAnsi="Cambria Math"/>
            </w:rPr>
            <m:t>(θ)=</m:t>
          </m:r>
          <m:r>
            <m:rPr>
              <m:nor/>
            </m:rPr>
            <m:t>max</m:t>
          </m:r>
          <m:r>
            <w:rPr>
              <w:rFonts w:ascii="Cambria Math" w:hAnsi="Cambria Math"/>
            </w:rPr>
            <m:t>(0, θ-E)</m:t>
          </m:r>
        </m:oMath>
      </m:oMathPara>
    </w:p>
    <w:p w14:paraId="2F407318" w14:textId="77777777" w:rsidR="00565930" w:rsidRDefault="00000000">
      <w:pPr>
        <w:pStyle w:val="Titolo2"/>
      </w:pPr>
      <w:bookmarkStart w:id="5" w:name="X8025356d4f2effe411014f2dff8d8aa6a5e7206"/>
      <w:r>
        <w:t>2.4 Selecting the didactic action (Adaptive Tutor)</w:t>
      </w:r>
      <w:bookmarkEnd w:id="5"/>
    </w:p>
    <w:p w14:paraId="568C2DDE" w14:textId="77777777" w:rsidR="00565930" w:rsidRDefault="00000000">
      <w:pPr>
        <w:pStyle w:val="FirstParagraph"/>
      </w:pPr>
      <w:r>
        <w:t xml:space="preserve">The Pedagogical Policy Engine (ATA) selects the </w:t>
      </w:r>
      <w:r>
        <w:rPr>
          <w:b/>
        </w:rPr>
        <w:t>Next Best Learning Action (NBLA)</w:t>
      </w:r>
      <w:r>
        <w:t xml:space="preserve"> by maximising a versioned score; the LLM renders, it does not decide:</w:t>
      </w:r>
    </w:p>
    <w:p w14:paraId="5AC888CB" w14:textId="77777777" w:rsidR="00565930" w:rsidRDefault="00000000">
      <w:pPr>
        <w:pStyle w:val="Corpotesto"/>
      </w:pPr>
      <m:oMathPara>
        <m:oMathParaPr>
          <m:jc m:val="center"/>
        </m:oMathParaPr>
        <m:oMath>
          <m:r>
            <m:rPr>
              <m:nor/>
            </m:rPr>
            <m:t>Score</m:t>
          </m:r>
          <m:r>
            <w:rPr>
              <w:rFonts w:ascii="Cambria Math" w:hAnsi="Cambria Math"/>
            </w:rPr>
            <m:t>(a)=</m:t>
          </m:r>
          <m:nary>
            <m:naryPr>
              <m:chr m:val="∑"/>
              <m:limLoc m:val="undOvr"/>
              <m:ctrlPr>
                <w:rPr>
                  <w:rFonts w:ascii="Cambria Math" w:hAnsi="Cambria Math"/>
                </w:rPr>
              </m:ctrlPr>
            </m:naryPr>
            <m:sub>
              <m:r>
                <w:rPr>
                  <w:rFonts w:ascii="Cambria Math" w:hAnsi="Cambria Math"/>
                </w:rPr>
                <m:t>i=1</m:t>
              </m:r>
            </m:sub>
            <m:sup>
              <m:r>
                <w:rPr>
                  <w:rFonts w:ascii="Cambria Math" w:hAnsi="Cambria Math"/>
                </w:rPr>
                <m:t>6</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(a) -</m:t>
          </m:r>
          <m:nary>
            <m:naryPr>
              <m:chr m:val="∑"/>
              <m:limLoc m:val="undOvr"/>
              <m:ctrlPr>
                <w:rPr>
                  <w:rFonts w:ascii="Cambria Math" w:hAnsi="Cambria Math"/>
                </w:rPr>
              </m:ctrlPr>
            </m:naryPr>
            <m:sub>
              <m:r>
                <w:rPr>
                  <w:rFonts w:ascii="Cambria Math" w:hAnsi="Cambria Math"/>
                </w:rPr>
                <m:t>i=7</m:t>
              </m:r>
            </m:sub>
            <m:sup>
              <m:r>
                <w:rPr>
                  <w:rFonts w:ascii="Cambria Math" w:hAnsi="Cambria Math"/>
                </w:rPr>
                <m:t>9</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(a)</m:t>
          </m:r>
        </m:oMath>
      </m:oMathPara>
    </w:p>
    <w:p w14:paraId="5A34CA35" w14:textId="77777777" w:rsidR="00565930" w:rsidRDefault="00000000">
      <w:pPr>
        <w:pStyle w:val="FirstParagraph"/>
      </w:pPr>
      <w:r>
        <w:t xml:space="preserve">with rewards </w:t>
      </w:r>
      <m:oMath>
        <m:r>
          <w:rPr>
            <w:rFonts w:ascii="Cambria Math" w:hAnsi="Cambria Math"/>
          </w:rPr>
          <m:t>ϕ={</m:t>
        </m:r>
        <m:r>
          <m:rPr>
            <m:nor/>
          </m:rPr>
          <m:t>ExpectedLearningGain, GoalAlignment, PrerequisiteReadiness, GapPriority, RetentionValue, EngagementProbability</m:t>
        </m:r>
        <m:r>
          <w:rPr>
            <w:rFonts w:ascii="Cambria Math" w:hAnsi="Cambria Math"/>
          </w:rPr>
          <m:t>}</m:t>
        </m:r>
      </m:oMath>
      <w:r>
        <w:t xml:space="preserve"> and penalties </w:t>
      </w:r>
      <m:oMath>
        <m:r>
          <w:rPr>
            <w:rFonts w:ascii="Cambria Math" w:hAnsi="Cambria Math"/>
          </w:rPr>
          <m:t>ψ={</m:t>
        </m:r>
        <m:r>
          <m:rPr>
            <m:nor/>
          </m:rPr>
          <m:t>CognitiveLoad, Redundancy, RiskPenalty</m:t>
        </m:r>
        <m:r>
          <w:rPr>
            <w:rFonts w:ascii="Cambria Math" w:hAnsi="Cambria Math"/>
          </w:rPr>
          <m:t>}</m:t>
        </m:r>
      </m:oMath>
      <w:r>
        <w:t xml:space="preserve">. The objective is </w:t>
      </w:r>
      <w:r>
        <w:rPr>
          <w:b/>
        </w:rPr>
        <w:t>learning gain and retention</w:t>
      </w:r>
      <w:r>
        <w:t>, not engagement; policy changes require offline evaluation and controlled roll‑out.</w:t>
      </w:r>
    </w:p>
    <w:p w14:paraId="363E33C3" w14:textId="77777777" w:rsidR="00565930" w:rsidRDefault="00000000">
      <w:pPr>
        <w:pStyle w:val="Titolo2"/>
      </w:pPr>
      <w:bookmarkStart w:id="6" w:name="path-optimisation-academic-gps"/>
      <w:r>
        <w:t>2.5 Path optimisation (Academic GPS)</w:t>
      </w:r>
      <w:bookmarkEnd w:id="6"/>
    </w:p>
    <w:p w14:paraId="0B5497E2" w14:textId="77777777" w:rsidR="00565930" w:rsidRDefault="00000000">
      <w:pPr>
        <w:pStyle w:val="FirstParagraph"/>
      </w:pPr>
      <w:r>
        <w:t>The deterministic path orders items by marginal utility:</w:t>
      </w:r>
    </w:p>
    <w:p w14:paraId="47537CFD" w14:textId="77777777" w:rsidR="00565930" w:rsidRDefault="00000000">
      <w:pPr>
        <w:pStyle w:val="Corpotesto"/>
      </w:pPr>
      <m:oMathPara>
        <m:oMathParaPr>
          <m:jc m:val="center"/>
        </m:oMathParaPr>
        <m:oMath>
          <m:r>
            <m:rPr>
              <m:nor/>
            </m:rPr>
            <m:t>utility</m:t>
          </m:r>
          <m:r>
            <w:rPr>
              <w:rFonts w:ascii="Cambria Math" w:hAnsi="Cambria Math"/>
            </w:rPr>
            <m:t>(item)=</m:t>
          </m:r>
          <m:r>
            <m:rPr>
              <m:nor/>
            </m:rPr>
            <m:t>gapCoverage</m:t>
          </m:r>
          <m:r>
            <w:rPr>
              <w:rFonts w:ascii="Cambria Math" w:hAnsi="Cambria Math"/>
            </w:rPr>
            <m:t>⋅</m:t>
          </m:r>
          <m:r>
            <m:rPr>
              <m:nor/>
            </m:rPr>
            <m:t>expectedGain</m:t>
          </m:r>
          <m:r>
            <w:rPr>
              <w:rFonts w:ascii="Cambria Math" w:hAnsi="Cambria Math"/>
            </w:rPr>
            <m:t>⋅</m:t>
          </m:r>
          <m:r>
            <m:rPr>
              <m:nor/>
            </m:rPr>
            <m:t>confidenceNeed</m:t>
          </m:r>
          <m:r>
            <w:rPr>
              <w:rFonts w:ascii="Cambria Math" w:hAnsi="Cambria Math"/>
            </w:rPr>
            <m:t>⋅</m:t>
          </m:r>
          <m:r>
            <m:rPr>
              <m:nor/>
            </m:rPr>
            <m:t>relevance</m:t>
          </m:r>
          <m:r>
            <w:rPr>
              <w:rFonts w:ascii="Cambria Math" w:hAnsi="Cambria Math"/>
            </w:rPr>
            <m:t>-</m:t>
          </m:r>
          <m:r>
            <m:rPr>
              <m:nor/>
            </m:rPr>
            <m:t>timePenalty</m:t>
          </m:r>
          <m:r>
            <w:rPr>
              <w:rFonts w:ascii="Cambria Math" w:hAnsi="Cambria Math"/>
            </w:rPr>
            <m:t>-</m:t>
          </m:r>
          <m:r>
            <m:rPr>
              <m:nor/>
            </m:rPr>
            <m:t>redundancyPenalty</m:t>
          </m:r>
        </m:oMath>
      </m:oMathPara>
    </w:p>
    <w:p w14:paraId="68EEBF1D" w14:textId="77777777" w:rsidR="00565930" w:rsidRDefault="00000000">
      <w:pPr>
        <w:pStyle w:val="FirstParagraph"/>
      </w:pPr>
      <w:r>
        <w:lastRenderedPageBreak/>
        <w:t>LLMs narrate the path; they do not rank it — a deliberate separation between deterministic ranking and generation.</w:t>
      </w:r>
    </w:p>
    <w:p w14:paraId="2A26A722" w14:textId="77777777" w:rsidR="00565930" w:rsidRDefault="00000000">
      <w:pPr>
        <w:pStyle w:val="Titolo1"/>
      </w:pPr>
      <w:bookmarkStart w:id="7" w:name="Xc23e93fadd1de363fb1ff83605440682b31f581"/>
      <w:r>
        <w:t>3. A concrete case: the knowledge graph of a Machine Learning course</w:t>
      </w:r>
      <w:bookmarkEnd w:id="7"/>
    </w:p>
    <w:p w14:paraId="27E696E6" w14:textId="77777777" w:rsidR="00565930" w:rsidRDefault="00000000">
      <w:pPr>
        <w:pStyle w:val="FirstParagraph"/>
      </w:pPr>
      <w:r>
        <w:t xml:space="preserve">Consider </w:t>
      </w:r>
      <w:r>
        <w:rPr>
          <w:b/>
        </w:rPr>
        <w:t>AI‑501 — Foundations of Machine Learning</w:t>
      </w:r>
      <w:r>
        <w:t xml:space="preserve"> (EQF 7). Figure 1 shows an excerpt of the concept sub‑graph (</w:t>
      </w:r>
      <w:r>
        <w:rPr>
          <w:rStyle w:val="VerbatimChar"/>
        </w:rPr>
        <w:t>Concept</w:t>
      </w:r>
      <w:r>
        <w:t xml:space="preserve"> nodes) with </w:t>
      </w:r>
      <w:r>
        <w:rPr>
          <w:rStyle w:val="VerbatimChar"/>
        </w:rPr>
        <w:t>PREREQUISITE_OF</w:t>
      </w:r>
      <w:r>
        <w:t xml:space="preserve"> relations (a DAG), the anchoring to outcomes (</w:t>
      </w:r>
      <w:r>
        <w:rPr>
          <w:rStyle w:val="VerbatimChar"/>
        </w:rPr>
        <w:t>MLO</w:t>
      </w:r>
      <w:r>
        <w:t>/</w:t>
      </w:r>
      <w:r>
        <w:rPr>
          <w:rStyle w:val="VerbatimChar"/>
        </w:rPr>
        <w:t>CLO</w:t>
      </w:r>
      <w:r>
        <w:t>) and to assessments (</w:t>
      </w:r>
      <w:r>
        <w:rPr>
          <w:rStyle w:val="VerbatimChar"/>
        </w:rPr>
        <w:t>Assessment</w:t>
      </w:r>
      <w:r>
        <w:t>). Concept and prerequisite extraction can be automated with established techniques (concept extraction plus prerequisite mining) [Chen et al., 2018; ACE, 2024].</w:t>
      </w:r>
    </w:p>
    <w:p w14:paraId="5437BD56" w14:textId="77777777" w:rsidR="00565930" w:rsidRDefault="00000000">
      <w:pPr>
        <w:pStyle w:val="CaptionedFigure"/>
      </w:pPr>
      <w:r>
        <w:rPr>
          <w:noProof/>
        </w:rPr>
        <w:drawing>
          <wp:inline distT="0" distB="0" distL="0" distR="0" wp14:anchorId="7F588B92" wp14:editId="2CCE5F57">
            <wp:extent cx="6201847" cy="947057"/>
            <wp:effectExtent l="0" t="0" r="0" b="0"/>
            <wp:docPr id="1" name="Picture" descr="Figure 1 — Excerpt of the AI‑501 Educational Knowledge Graph: concept prerequisite DAG (blue), module/course outcomes (gold/navy) and assessments (green). Edges: PREREQUISITE_OF, ADDRESSES, CONTRIBUTES_TO, ASSESSES/EVIDENCES."/>
            <wp:cNvGraphicFramePr/>
            <a:graphic xmlns:a="http://schemas.openxmlformats.org/drawingml/2006/main">
              <a:graphicData uri="http://schemas.openxmlformats.org/drawingml/2006/picture">
                <pic:pic xmlns:pic="http://schemas.openxmlformats.org/drawingml/2006/picture">
                  <pic:nvPicPr>
                    <pic:cNvPr id="0" name="Picture" descr="ml_kg.png"/>
                    <pic:cNvPicPr>
                      <a:picLocks noChangeAspect="1" noChangeArrowheads="1"/>
                    </pic:cNvPicPr>
                  </pic:nvPicPr>
                  <pic:blipFill>
                    <a:blip r:embed="rId7"/>
                    <a:stretch>
                      <a:fillRect/>
                    </a:stretch>
                  </pic:blipFill>
                  <pic:spPr bwMode="auto">
                    <a:xfrm>
                      <a:off x="0" y="0"/>
                      <a:ext cx="6236053" cy="952281"/>
                    </a:xfrm>
                    <a:prstGeom prst="rect">
                      <a:avLst/>
                    </a:prstGeom>
                    <a:noFill/>
                    <a:ln w="9525">
                      <a:noFill/>
                      <a:headEnd/>
                      <a:tailEnd/>
                    </a:ln>
                  </pic:spPr>
                </pic:pic>
              </a:graphicData>
            </a:graphic>
          </wp:inline>
        </w:drawing>
      </w:r>
    </w:p>
    <w:p w14:paraId="79676687" w14:textId="77777777" w:rsidR="00565930" w:rsidRDefault="00000000">
      <w:pPr>
        <w:pStyle w:val="ImageCaption"/>
      </w:pPr>
      <w:r>
        <w:t>Figure 1 — Excerpt of the AI‑501 Educational Knowledge Graph: concept prerequisite DAG (blue), module/course outcomes (gold/navy) and assessments (green). Edges: PREREQUISITE_OF, ADDRESSES, CONTRIBUTES_TO, ASSESSES/EVIDENCES.</w:t>
      </w:r>
    </w:p>
    <w:p w14:paraId="0ED54487" w14:textId="77777777" w:rsidR="00565930" w:rsidRDefault="00000000">
      <w:pPr>
        <w:pStyle w:val="Corpotesto"/>
      </w:pPr>
      <w:r>
        <w:t xml:space="preserve">Underlying EKG semantics (excerpt): </w:t>
      </w:r>
      <w:r>
        <w:rPr>
          <w:rStyle w:val="VerbatimChar"/>
        </w:rPr>
        <w:t>Course AI‑501 —HAS_MODULE→ Module‑3 —HAS_LESSON→ Lesson‑3.2 —TEACHES→ Concept:Overfitting</w:t>
      </w:r>
      <w:r>
        <w:t xml:space="preserve">; </w:t>
      </w:r>
      <w:r>
        <w:rPr>
          <w:rStyle w:val="VerbatimChar"/>
        </w:rPr>
        <w:t>Lesson‑3.2 —ADDRESSES→ MLO‑3.2 —CONTRIBUTES_TO→ CLO‑2</w:t>
      </w:r>
      <w:r>
        <w:t xml:space="preserve">; </w:t>
      </w:r>
      <w:r>
        <w:rPr>
          <w:rStyle w:val="VerbatimChar"/>
        </w:rPr>
        <w:t>Quiz‑7.item —ASSESSES→ MLO‑3.2</w:t>
      </w:r>
      <w:r>
        <w:t xml:space="preserve">; </w:t>
      </w:r>
      <w:r>
        <w:rPr>
          <w:rStyle w:val="VerbatimChar"/>
        </w:rPr>
        <w:t>Evidence(project) —EVIDENCES→ CLO‑2</w:t>
      </w:r>
      <w:r>
        <w:t xml:space="preserve">; </w:t>
      </w:r>
      <w:r>
        <w:rPr>
          <w:rStyle w:val="VerbatimChar"/>
        </w:rPr>
        <w:t>Concept:LinearRegression —PREREQUISITE_OF→ Concept:Overfitting</w:t>
      </w:r>
      <w:r>
        <w:t xml:space="preserve">. The </w:t>
      </w:r>
      <w:r>
        <w:rPr>
          <w:b/>
        </w:rPr>
        <w:t>acyclicity</w:t>
      </w:r>
      <w:r>
        <w:t xml:space="preserve"> of prerequisites is a graph invariant checked in CI.</w:t>
      </w:r>
    </w:p>
    <w:p w14:paraId="26B2AFB5" w14:textId="77777777" w:rsidR="00565930" w:rsidRDefault="00000000">
      <w:pPr>
        <w:pStyle w:val="Titolo1"/>
      </w:pPr>
      <w:bookmarkStart w:id="8" w:name="X62454b4dcc4f85539a1dcd32c77964df7bc2131"/>
      <w:r>
        <w:t>4. Use case A — How knowledge about a student is constructed (worked example)</w:t>
      </w:r>
      <w:bookmarkEnd w:id="8"/>
    </w:p>
    <w:p w14:paraId="300B833A" w14:textId="77777777" w:rsidR="00565930" w:rsidRDefault="00000000">
      <w:pPr>
        <w:pStyle w:val="FirstParagraph"/>
      </w:pPr>
      <w:r>
        <w:t xml:space="preserve">Student </w:t>
      </w:r>
      <m:oMath>
        <m:r>
          <w:rPr>
            <w:rFonts w:ascii="Cambria Math" w:hAnsi="Cambria Math"/>
          </w:rPr>
          <m:t>u</m:t>
        </m:r>
      </m:oMath>
      <w:r>
        <w:t xml:space="preserve"> on the concept </w:t>
      </w:r>
      <w:r>
        <w:rPr>
          <w:b/>
        </w:rPr>
        <w:t>Overfitting</w:t>
      </w:r>
      <w:r>
        <w:t xml:space="preserve">. Non‑informative prior </w:t>
      </w:r>
      <m:oMath>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=1</m:t>
        </m:r>
      </m:oMath>
      <w:r>
        <w:t xml:space="preserve"> (hence </w:t>
      </w:r>
      <m:oMath>
        <m:r>
          <w:rPr>
            <w:rFonts w:ascii="Cambria Math" w:hAnsi="Cambria Math"/>
          </w:rPr>
          <m:t>M=0.5</m:t>
        </m:r>
      </m:oMath>
      <w:r>
        <w:t xml:space="preserve">, high uncertainty). Three pieces of QualifiedEvidence are observed during Module 3, with </w:t>
      </w:r>
      <m:oMath>
        <m:r>
          <w:rPr>
            <w:rFonts w:ascii="Cambria Math" w:hAnsi="Cambria Math"/>
          </w:rPr>
          <m:t>Δα=</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s</m:t>
        </m:r>
      </m:oMath>
      <w:r>
        <w:t xml:space="preserve"> and </w:t>
      </w:r>
      <m:oMath>
        <m:r>
          <w:rPr>
            <w:rFonts w:ascii="Cambria Math" w:hAnsi="Cambria Math"/>
          </w:rPr>
          <m:t>Δβ=</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(1-s)</m:t>
        </m:r>
      </m:oMath>
      <w:r>
        <w:t>:</w:t>
      </w:r>
    </w:p>
    <w:p w14:paraId="44B6250E" w14:textId="77777777" w:rsidR="00565930" w:rsidRDefault="00000000">
      <w:pPr>
        <w:pStyle w:val="Compact"/>
        <w:numPr>
          <w:ilvl w:val="0"/>
          <w:numId w:val="2"/>
        </w:numPr>
      </w:pPr>
      <w:r>
        <w:t xml:space="preserve">MCQ, correct — </w:t>
      </w:r>
      <m:oMath>
        <m:r>
          <w:rPr>
            <w:rFonts w:ascii="Cambria Math" w:hAnsi="Cambria Math"/>
          </w:rPr>
          <m:t>s=1.0</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=0.8</m:t>
        </m:r>
      </m:oMath>
      <w:r>
        <w:t xml:space="preserve"> </w:t>
      </w:r>
      <m:oMath>
        <m:r>
          <w:rPr>
            <w:rFonts w:ascii="Cambria Math" w:hAnsi="Cambria Math"/>
          </w:rPr>
          <m:t>⇒</m:t>
        </m:r>
      </m:oMath>
      <w:r>
        <w:t xml:space="preserve"> </w:t>
      </w:r>
      <m:oMath>
        <m:r>
          <w:rPr>
            <w:rFonts w:ascii="Cambria Math" w:hAnsi="Cambria Math"/>
          </w:rPr>
          <m:t>Δα=0.80</m:t>
        </m:r>
      </m:oMath>
      <w:r>
        <w:t>.</w:t>
      </w:r>
    </w:p>
    <w:p w14:paraId="1AB873E3" w14:textId="77777777" w:rsidR="00565930" w:rsidRDefault="00000000">
      <w:pPr>
        <w:pStyle w:val="Compact"/>
        <w:numPr>
          <w:ilvl w:val="0"/>
          <w:numId w:val="2"/>
        </w:numPr>
      </w:pPr>
      <w:r>
        <w:t xml:space="preserve">MCQ, incorrect — </w:t>
      </w:r>
      <m:oMath>
        <m:r>
          <w:rPr>
            <w:rFonts w:ascii="Cambria Math" w:hAnsi="Cambria Math"/>
          </w:rPr>
          <m:t>s=0.0</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=0.7</m:t>
        </m:r>
      </m:oMath>
      <w:r>
        <w:t xml:space="preserve"> </w:t>
      </w:r>
      <m:oMath>
        <m:r>
          <w:rPr>
            <w:rFonts w:ascii="Cambria Math" w:hAnsi="Cambria Math"/>
          </w:rPr>
          <m:t>⇒</m:t>
        </m:r>
      </m:oMath>
      <w:r>
        <w:t xml:space="preserve"> </w:t>
      </w:r>
      <m:oMath>
        <m:r>
          <w:rPr>
            <w:rFonts w:ascii="Cambria Math" w:hAnsi="Cambria Math"/>
          </w:rPr>
          <m:t>Δβ=0.70</m:t>
        </m:r>
      </m:oMath>
      <w:r>
        <w:t>.</w:t>
      </w:r>
    </w:p>
    <w:p w14:paraId="31429139" w14:textId="77777777" w:rsidR="00565930" w:rsidRDefault="00000000">
      <w:pPr>
        <w:pStyle w:val="Compact"/>
        <w:numPr>
          <w:ilvl w:val="0"/>
          <w:numId w:val="2"/>
        </w:numPr>
      </w:pPr>
      <w:r>
        <w:t xml:space="preserve">Rubric‑scored open answer, good — </w:t>
      </w:r>
      <m:oMath>
        <m:r>
          <w:rPr>
            <w:rFonts w:ascii="Cambria Math" w:hAnsi="Cambria Math"/>
          </w:rPr>
          <m:t>s=0.9</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=1.0</m:t>
        </m:r>
      </m:oMath>
      <w:r>
        <w:t xml:space="preserve"> </w:t>
      </w:r>
      <m:oMath>
        <m:r>
          <w:rPr>
            <w:rFonts w:ascii="Cambria Math" w:hAnsi="Cambria Math"/>
          </w:rPr>
          <m:t>⇒</m:t>
        </m:r>
      </m:oMath>
      <w:r>
        <w:t xml:space="preserve"> </w:t>
      </w:r>
      <m:oMath>
        <m:r>
          <w:rPr>
            <w:rFonts w:ascii="Cambria Math" w:hAnsi="Cambria Math"/>
          </w:rPr>
          <m:t>Δα=0.90, Δβ=0.10</m:t>
        </m:r>
      </m:oMath>
      <w:r>
        <w:t>.</w:t>
      </w:r>
    </w:p>
    <w:p w14:paraId="61CA15AA" w14:textId="77777777" w:rsidR="00565930" w:rsidRDefault="00000000">
      <w:pPr>
        <w:pStyle w:val="FirstParagraph"/>
      </w:pPr>
      <w:r>
        <w:t xml:space="preserve">Posterior: </w:t>
      </w:r>
      <m:oMath>
        <m:r>
          <w:rPr>
            <w:rFonts w:ascii="Cambria Math" w:hAnsi="Cambria Math"/>
          </w:rPr>
          <m:t>α=1+0.80+0.90=2.70</m:t>
        </m:r>
      </m:oMath>
      <w:r>
        <w:t xml:space="preserve">, </w:t>
      </w:r>
      <m:oMath>
        <m:r>
          <w:rPr>
            <w:rFonts w:ascii="Cambria Math" w:hAnsi="Cambria Math"/>
          </w:rPr>
          <m:t>β=1+0.70+0.10=1.80</m:t>
        </m:r>
      </m:oMath>
      <w:r>
        <w:t>.</w:t>
      </w:r>
    </w:p>
    <w:p w14:paraId="20AE126C" w14:textId="77777777" w:rsidR="00565930" w:rsidRDefault="00000000">
      <w:pPr>
        <w:pStyle w:val="Corpotesto"/>
      </w:pPr>
      <m:oMathPara>
        <m:oMathParaPr>
          <m:jc m:val="center"/>
        </m:oMathParaPr>
        <m:oMath>
          <m:r>
            <w:rPr>
              <w:rFonts w:ascii="Cambria Math" w:hAnsi="Cambria Math"/>
            </w:rPr>
            <m:t>M=</m:t>
          </m:r>
          <m:f>
            <m:fPr>
              <m:type m:val="lin"/>
              <m:ctrlPr>
                <w:rPr>
                  <w:rFonts w:ascii="Cambria Math" w:hAnsi="Cambria Math"/>
                </w:rPr>
              </m:ctrlPr>
            </m:fPr>
            <m:num>
              <m:r>
                <w:rPr>
                  <w:rFonts w:ascii="Cambria Math" w:hAnsi="Cambria Math"/>
                </w:rPr>
                <m:t>2.70</m:t>
              </m:r>
            </m:num>
            <m:den>
              <m:r>
                <w:rPr>
                  <w:rFonts w:ascii="Cambria Math" w:hAnsi="Cambria Math"/>
                </w:rPr>
                <m:t>4.50</m:t>
              </m:r>
            </m:den>
          </m:f>
          <m:r>
            <w:rPr>
              <w:rFonts w:ascii="Cambria Math" w:hAnsi="Cambria Math"/>
            </w:rPr>
            <m:t>=0.600,  </m:t>
          </m:r>
          <m:r>
            <m:rPr>
              <m:sty m:val="p"/>
            </m:rPr>
            <w:rPr>
              <w:rFonts w:ascii="Cambria Math" w:hAnsi="Cambria Math"/>
            </w:rPr>
            <m:t>Var</m:t>
          </m:r>
          <m:r>
            <w:rPr>
              <w:rFonts w:ascii="Cambria Math" w:hAnsi="Cambria Math"/>
            </w:rPr>
            <m:t>=</m:t>
          </m:r>
          <m:f>
            <m:fPr>
              <m:type m:val="lin"/>
              <m:ctrlPr>
                <w:rPr>
                  <w:rFonts w:ascii="Cambria Math" w:hAnsi="Cambria Math"/>
                </w:rPr>
              </m:ctrlPr>
            </m:fPr>
            <m:num>
              <m:r>
                <w:rPr>
                  <w:rFonts w:ascii="Cambria Math" w:hAnsi="Cambria Math"/>
                </w:rPr>
                <m:t>2.70⋅1.80</m:t>
              </m:r>
            </m:num>
            <m:den>
              <m:sSup>
                <m:sSupPr>
                  <m:ctrlPr>
                    <w:rPr>
                      <w:rFonts w:ascii="Cambria Math" w:hAnsi="Cambria Math"/>
                    </w:rPr>
                  </m:ctrlPr>
                </m:sSupPr>
                <m:e>
                  <m:r>
                    <w:rPr>
                      <w:rFonts w:ascii="Cambria Math" w:hAnsi="Cambria Math"/>
                    </w:rPr>
                    <m:t>4.50</m:t>
                  </m:r>
                </m:e>
                <m:sup>
                  <m:r>
                    <w:rPr>
                      <w:rFonts w:ascii="Cambria Math" w:hAnsi="Cambria Math"/>
                    </w:rPr>
                    <m:t>2</m:t>
                  </m:r>
                </m:sup>
              </m:sSup>
              <m:r>
                <w:rPr>
                  <w:rFonts w:ascii="Cambria Math" w:hAnsi="Cambria Math"/>
                </w:rPr>
                <m:t>⋅5.50</m:t>
              </m:r>
            </m:den>
          </m:f>
          <m:r>
            <w:rPr>
              <w:rFonts w:ascii="Cambria Math" w:hAnsi="Cambria Math"/>
            </w:rPr>
            <m:t>=</m:t>
          </m:r>
          <m:f>
            <m:fPr>
              <m:type m:val="lin"/>
              <m:ctrlPr>
                <w:rPr>
                  <w:rFonts w:ascii="Cambria Math" w:hAnsi="Cambria Math"/>
                </w:rPr>
              </m:ctrlPr>
            </m:fPr>
            <m:num>
              <m:r>
                <w:rPr>
                  <w:rFonts w:ascii="Cambria Math" w:hAnsi="Cambria Math"/>
                </w:rPr>
                <m:t>4.86</m:t>
              </m:r>
            </m:num>
            <m:den>
              <m:r>
                <w:rPr>
                  <w:rFonts w:ascii="Cambria Math" w:hAnsi="Cambria Math"/>
                </w:rPr>
                <m:t>111.375</m:t>
              </m:r>
            </m:den>
          </m:f>
          <m:r>
            <w:rPr>
              <w:rFonts w:ascii="Cambria Math" w:hAnsi="Cambria Math"/>
            </w:rPr>
            <m:t>=0.0436</m:t>
          </m:r>
        </m:oMath>
      </m:oMathPara>
    </w:p>
    <w:p w14:paraId="51056FC8" w14:textId="77777777" w:rsidR="00565930" w:rsidRDefault="00000000">
      <w:pPr>
        <w:pStyle w:val="FirstParagraph"/>
      </w:pPr>
      <m:oMathPara>
        <m:oMathParaPr>
          <m:jc m:val="center"/>
        </m:oMathParaPr>
        <m:oMath>
          <m:r>
            <m:rPr>
              <m:sty m:val="p"/>
            </m:rPr>
            <w:rPr>
              <w:rFonts w:ascii="Cambria Math" w:hAnsi="Cambria Math"/>
            </w:rPr>
            <m:t>SD</m:t>
          </m:r>
          <m:r>
            <w:rPr>
              <w:rFonts w:ascii="Cambria Math" w:hAnsi="Cambria Math"/>
            </w:rPr>
            <m:t>=</m:t>
          </m:r>
          <m:rad>
            <m:radPr>
              <m:degHide m:val="1"/>
              <m:ctrlPr>
                <w:rPr>
                  <w:rFonts w:ascii="Cambria Math" w:hAnsi="Cambria Math"/>
                </w:rPr>
              </m:ctrlPr>
            </m:radPr>
            <m:deg/>
            <m:e>
              <m:r>
                <w:rPr>
                  <w:rFonts w:ascii="Cambria Math" w:hAnsi="Cambria Math"/>
                </w:rPr>
                <m:t>0.0436</m:t>
              </m:r>
            </m:e>
          </m:rad>
          <m:r>
            <w:rPr>
              <w:rFonts w:ascii="Cambria Math" w:hAnsi="Cambria Math"/>
            </w:rPr>
            <m:t>=0.209,  C=1-2(0.209)=0.582</m:t>
          </m:r>
        </m:oMath>
      </m:oMathPara>
    </w:p>
    <w:p w14:paraId="589E2E7C" w14:textId="77777777" w:rsidR="00565930" w:rsidRDefault="00000000">
      <w:pPr>
        <w:pStyle w:val="FirstParagraph"/>
      </w:pPr>
      <w:r>
        <w:rPr>
          <w:b/>
        </w:rPr>
        <w:t>Effective mastery</w:t>
      </w:r>
      <w:r>
        <w:t xml:space="preserve"> (</w:t>
      </w:r>
      <m:oMath>
        <m:r>
          <w:rPr>
            <w:rFonts w:ascii="Cambria Math" w:hAnsi="Cambria Math"/>
          </w:rPr>
          <m:t>γ=0.5</m:t>
        </m:r>
      </m:oMath>
      <w:r>
        <w:t xml:space="preserve">): </w:t>
      </w:r>
      <m:oMath>
        <m:r>
          <w:rPr>
            <w:rFonts w:ascii="Cambria Math" w:hAnsi="Cambria Math"/>
          </w:rPr>
          <m:t>E=0.600 (0.5+0.5⋅0.582)=0.600⋅0.791=0.474</m:t>
        </m:r>
      </m:oMath>
      <w:r>
        <w:t xml:space="preserve">. Against target </w:t>
      </w:r>
      <m:oMath>
        <m:r>
          <w:rPr>
            <w:rFonts w:ascii="Cambria Math" w:hAnsi="Cambria Math"/>
          </w:rPr>
          <m:t>θ=0.75</m:t>
        </m:r>
      </m:oMath>
      <w:r>
        <w:t xml:space="preserve">: </w:t>
      </w:r>
      <m:oMath>
        <m:r>
          <m:rPr>
            <m:nor/>
          </m:rPr>
          <m:t>gap</m:t>
        </m:r>
        <m:r>
          <w:rPr>
            <w:rFonts w:ascii="Cambria Math" w:hAnsi="Cambria Math"/>
          </w:rPr>
          <m:t>=0.276</m:t>
        </m:r>
      </m:oMath>
      <w:r>
        <w:t>.</w:t>
      </w:r>
    </w:p>
    <w:p w14:paraId="476A3B4A" w14:textId="77777777" w:rsidR="00565930" w:rsidRDefault="00000000">
      <w:pPr>
        <w:pStyle w:val="Corpotesto"/>
      </w:pPr>
      <w:r>
        <w:rPr>
          <w:b/>
        </w:rPr>
        <w:lastRenderedPageBreak/>
        <w:t>Prerequisite effect.</w:t>
      </w:r>
      <w:r>
        <w:t xml:space="preserve"> If upstream readiness is high — </w:t>
      </w:r>
      <m:oMath>
        <m:r>
          <w:rPr>
            <w:rFonts w:ascii="Cambria Math" w:hAnsi="Cambria Math"/>
          </w:rPr>
          <m:t>E(</m:t>
        </m:r>
        <m:r>
          <m:rPr>
            <m:nor/>
          </m:rPr>
          <m:t>LinearRegression</m:t>
        </m:r>
        <m:r>
          <w:rPr>
            <w:rFonts w:ascii="Cambria Math" w:hAnsi="Cambria Math"/>
          </w:rPr>
          <m:t>)=0.82</m:t>
        </m:r>
      </m:oMath>
      <w:r>
        <w:t xml:space="preserve">, </w:t>
      </w:r>
      <m:oMath>
        <m:r>
          <w:rPr>
            <w:rFonts w:ascii="Cambria Math" w:hAnsi="Cambria Math"/>
          </w:rPr>
          <m:t>E(</m:t>
        </m:r>
        <m:r>
          <m:rPr>
            <m:nor/>
          </m:rPr>
          <m:t>GradientDescent</m:t>
        </m:r>
        <m:r>
          <w:rPr>
            <w:rFonts w:ascii="Cambria Math" w:hAnsi="Cambria Math"/>
          </w:rPr>
          <m:t>)=0.88</m:t>
        </m:r>
      </m:oMath>
      <w:r>
        <w:t xml:space="preserve"> — propagation toward </w:t>
      </w:r>
      <w:r>
        <w:rPr>
          <w:b/>
        </w:rPr>
        <w:t>MLO‑3.2 “diagnose overfitting”</w:t>
      </w:r>
      <w:r>
        <w:t xml:space="preserve"> is not capped: </w:t>
      </w:r>
      <m:oMath>
        <m:r>
          <m:rPr>
            <m:nor/>
          </m:rPr>
          <m:t>readiness</m:t>
        </m:r>
        <m:r>
          <w:rPr>
            <w:rFonts w:ascii="Cambria Math" w:hAnsi="Cambria Math"/>
          </w:rPr>
          <m:t>(</m:t>
        </m:r>
        <m:r>
          <m:rPr>
            <m:nor/>
          </m:rPr>
          <m:t>MLO‑3.2</m:t>
        </m:r>
        <m:r>
          <w:rPr>
            <w:rFonts w:ascii="Cambria Math" w:hAnsi="Cambria Math"/>
          </w:rPr>
          <m:t>)=</m:t>
        </m:r>
        <m:r>
          <m:rPr>
            <m:nor/>
          </m:rPr>
          <m:t>min</m:t>
        </m:r>
        <m:r>
          <w:rPr>
            <w:rFonts w:ascii="Cambria Math" w:hAnsi="Cambria Math"/>
          </w:rPr>
          <m:t>(1, 0.82⋅0.88)=0.72</m:t>
        </m:r>
      </m:oMath>
      <w:r>
        <w:t xml:space="preserve">; with </w:t>
      </w:r>
      <m:oMath>
        <m:r>
          <w:rPr>
            <w:rFonts w:ascii="Cambria Math" w:hAnsi="Cambria Math"/>
          </w:rPr>
          <m:t>M(</m:t>
        </m:r>
        <m:r>
          <m:rPr>
            <m:nor/>
          </m:rPr>
          <m:t>Overfitting</m:t>
        </m:r>
        <m:r>
          <w:rPr>
            <w:rFonts w:ascii="Cambria Math" w:hAnsi="Cambria Math"/>
          </w:rPr>
          <m:t>)=0.60</m:t>
        </m:r>
      </m:oMath>
      <w:r>
        <w:t xml:space="preserve">, </w:t>
      </w:r>
      <m:oMath>
        <m:r>
          <w:rPr>
            <w:rFonts w:ascii="Cambria Math" w:hAnsi="Cambria Math"/>
          </w:rPr>
          <m:t>M(</m:t>
        </m:r>
        <m:r>
          <m:rPr>
            <m:nor/>
          </m:rPr>
          <m:t>BiasVariance</m:t>
        </m:r>
        <m:r>
          <w:rPr>
            <w:rFonts w:ascii="Cambria Math" w:hAnsi="Cambria Math"/>
          </w:rPr>
          <m:t>)=0.55</m:t>
        </m:r>
      </m:oMath>
      <w:r>
        <w:t xml:space="preserve"> and weights </w:t>
      </w:r>
      <m:oMath>
        <m:r>
          <w:rPr>
            <w:rFonts w:ascii="Cambria Math" w:hAnsi="Cambria Math"/>
          </w:rPr>
          <m:t>π=[0.6,0.4]</m:t>
        </m:r>
      </m:oMath>
      <w:r>
        <w:t xml:space="preserve">: </w:t>
      </w:r>
      <m:oMath>
        <m:r>
          <w:rPr>
            <w:rFonts w:ascii="Cambria Math" w:hAnsi="Cambria Math"/>
          </w:rPr>
          <m:t>M(</m:t>
        </m:r>
        <m:r>
          <m:rPr>
            <m:nor/>
          </m:rPr>
          <m:t>MLO‑3.2</m:t>
        </m:r>
        <m:r>
          <w:rPr>
            <w:rFonts w:ascii="Cambria Math" w:hAnsi="Cambria Math"/>
          </w:rPr>
          <m:t>)=(0.6⋅0.60+0.4⋅0.55)⋅0.72=0.58⋅0.72=0.418</m:t>
        </m:r>
      </m:oMath>
      <w:r>
        <w:t>. Had Linear Regression been weak (</w:t>
      </w:r>
      <m:oMath>
        <m:r>
          <w:rPr>
            <w:rFonts w:ascii="Cambria Math" w:hAnsi="Cambria Math"/>
          </w:rPr>
          <m:t>E=0.40</m:t>
        </m:r>
      </m:oMath>
      <w:r>
        <w:t>), the cap would drop (</w:t>
      </w:r>
      <m:oMath>
        <m:r>
          <m:rPr>
            <m:nor/>
          </m:rPr>
          <m:t>readiness</m:t>
        </m:r>
        <m:r>
          <w:rPr>
            <w:rFonts w:ascii="Cambria Math" w:hAnsi="Cambria Math"/>
          </w:rPr>
          <m:t>≈0.35</m:t>
        </m:r>
      </m:oMath>
      <w:r>
        <w:t xml:space="preserve">) and the system would </w:t>
      </w:r>
      <w:r>
        <w:rPr>
          <w:b/>
        </w:rPr>
        <w:t>attribute the weakness to the prerequisite</w:t>
      </w:r>
      <w:r>
        <w:t>, not to the current concept — the basis of faculty diagnosis (§5).</w:t>
      </w:r>
    </w:p>
    <w:p w14:paraId="51716378" w14:textId="77777777" w:rsidR="00565930" w:rsidRDefault="00000000">
      <w:pPr>
        <w:pStyle w:val="Corpotesto"/>
      </w:pPr>
      <w:r>
        <w:rPr>
          <w:b/>
        </w:rPr>
        <w:t>Tutor action.</w:t>
      </w:r>
      <w:r>
        <w:t xml:space="preserve"> With a medium‑high gap on Overfitting and </w:t>
      </w:r>
      <w:r>
        <w:rPr>
          <w:i/>
        </w:rPr>
        <w:t>ready</w:t>
      </w:r>
      <w:r>
        <w:t xml:space="preserve"> prerequisites, the policy favours the sequence </w:t>
      </w:r>
      <w:r>
        <w:rPr>
          <w:b/>
        </w:rPr>
        <w:t>WORKED_EXAMPLE → PRACTICE → REASSESS</w:t>
      </w:r>
      <w:r>
        <w:t xml:space="preserve">; with weak prerequisites it would favour </w:t>
      </w:r>
      <w:r>
        <w:rPr>
          <w:b/>
        </w:rPr>
        <w:t>REVIEW_PREREQUISITE</w:t>
      </w:r>
      <w:r>
        <w:t xml:space="preserve"> (the </w:t>
      </w:r>
      <m:oMath>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r>
          <m:rPr>
            <m:nor/>
          </m:rPr>
          <m:t>PrerequisiteReadiness</m:t>
        </m:r>
      </m:oMath>
      <w:r>
        <w:t xml:space="preserve"> term dominating). The choice is </w:t>
      </w:r>
      <w:r>
        <w:rPr>
          <w:b/>
        </w:rPr>
        <w:t>explainable</w:t>
      </w:r>
      <w:r>
        <w:t xml:space="preserve"> (goal + state + graph dependencies) and grounded in resources via GraphRAG [Edge et al., 2024], with learning gain as the objective [Roediger &amp; Karpicke, 2006].</w:t>
      </w:r>
    </w:p>
    <w:p w14:paraId="0601C76B" w14:textId="77777777" w:rsidR="00565930" w:rsidRDefault="00000000">
      <w:pPr>
        <w:pStyle w:val="Corpotesto"/>
      </w:pPr>
      <w:r>
        <w:t xml:space="preserve">Each step appends immutable observations; the </w:t>
      </w:r>
      <w:r>
        <w:rPr>
          <w:rStyle w:val="VerbatimChar"/>
        </w:rPr>
        <w:t>mastery.updated</w:t>
      </w:r>
      <w:r>
        <w:t xml:space="preserve"> event rebuilds the student read projection. The student </w:t>
      </w:r>
      <w:r>
        <w:rPr>
          <w:b/>
        </w:rPr>
        <w:t>sees and can contest</w:t>
      </w:r>
      <w:r>
        <w:t xml:space="preserve"> their own </w:t>
      </w:r>
      <m:oMath>
        <m:r>
          <w:rPr>
            <w:rFonts w:ascii="Cambria Math" w:hAnsi="Cambria Math"/>
          </w:rPr>
          <m:t>(M,C)</m:t>
        </m:r>
      </m:oMath>
      <w:r>
        <w:t xml:space="preserve"> state per concept — an open learner model [Bull &amp; Kay, 2010].</w:t>
      </w:r>
    </w:p>
    <w:p w14:paraId="0D4BF8AA" w14:textId="77777777" w:rsidR="00565930" w:rsidRDefault="00000000">
      <w:pPr>
        <w:pStyle w:val="Titolo1"/>
      </w:pPr>
      <w:bookmarkStart w:id="9" w:name="Xdab8f19dd22914d0a2585a2c01c9745be49d0eb"/>
      <w:r>
        <w:t>5. Use case B — How the aggregate learning state serves faculty</w:t>
      </w:r>
      <w:bookmarkEnd w:id="9"/>
    </w:p>
    <w:p w14:paraId="368F4C5A" w14:textId="77777777" w:rsidR="00565930" w:rsidRDefault="00000000">
      <w:pPr>
        <w:pStyle w:val="FirstParagraph"/>
      </w:pPr>
      <w:r>
        <w:t xml:space="preserve">Faculty do not work turn‑by‑turn but on the </w:t>
      </w:r>
      <w:r>
        <w:rPr>
          <w:b/>
        </w:rPr>
        <w:t>aggregate</w:t>
      </w:r>
      <w:r>
        <w:t xml:space="preserve"> of the cohort’s learning states, projected into a </w:t>
      </w:r>
      <w:r>
        <w:rPr>
          <w:i/>
        </w:rPr>
        <w:t>Faculty Lens</w:t>
      </w:r>
      <w:r>
        <w:t xml:space="preserve"> (never the whole graph).</w:t>
      </w:r>
    </w:p>
    <w:p w14:paraId="3270F42F" w14:textId="77777777" w:rsidR="00565930" w:rsidRDefault="00000000">
      <w:pPr>
        <w:pStyle w:val="Titolo2"/>
      </w:pPr>
      <w:bookmarkStart w:id="10" w:name="outcome-health"/>
      <w:r>
        <w:t>5.1 Outcome health</w:t>
      </w:r>
      <w:bookmarkEnd w:id="10"/>
    </w:p>
    <w:p w14:paraId="32548099" w14:textId="77777777" w:rsidR="00565930" w:rsidRDefault="00000000">
      <w:pPr>
        <w:pStyle w:val="FirstParagraph"/>
      </w:pPr>
      <w:r>
        <w:t xml:space="preserve">For an outcome </w:t>
      </w:r>
      <m:oMath>
        <m:r>
          <w:rPr>
            <w:rFonts w:ascii="Cambria Math" w:hAnsi="Cambria Math"/>
          </w:rPr>
          <m:t>o</m:t>
        </m:r>
      </m:oMath>
      <w:r>
        <w:t xml:space="preserve"> and a cohort of </w:t>
      </w:r>
      <m:oMath>
        <m:r>
          <w:rPr>
            <w:rFonts w:ascii="Cambria Math" w:hAnsi="Cambria Math"/>
          </w:rPr>
          <m:t>N</m:t>
        </m:r>
      </m:oMath>
      <w:r>
        <w:t xml:space="preserve"> students we define attainment and mean confidence:</w:t>
      </w:r>
    </w:p>
    <w:p w14:paraId="6ED63908" w14:textId="77777777" w:rsidR="00565930" w:rsidRDefault="00000000">
      <w:pPr>
        <w:pStyle w:val="Corpotesto"/>
      </w:pPr>
      <m:oMathPara>
        <m:oMathParaPr>
          <m:jc m:val="center"/>
        </m:oMathParaPr>
        <m:oMath>
          <m:r>
            <m:rPr>
              <m:nor/>
            </m:rPr>
            <m:t>Attainment</m:t>
          </m:r>
          <m:r>
            <w:rPr>
              <w:rFonts w:ascii="Cambria Math" w:hAnsi="Cambria Math"/>
            </w:rPr>
            <m:t>(o)=</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r>
                <m:rPr>
                  <m:sty m:val="b"/>
                </m:rPr>
                <w:rPr>
                  <w:rFonts w:ascii="Cambria Math" w:hAnsi="Cambria Math"/>
                </w:rPr>
                <m:t>1</m:t>
              </m:r>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(o)≥θ(o)],  </m:t>
          </m:r>
          <m:bar>
            <m:barPr>
              <m:pos m:val="top"/>
              <m:ctrlPr>
                <w:rPr>
                  <w:rFonts w:ascii="Cambria Math" w:hAnsi="Cambria Math"/>
                </w:rPr>
              </m:ctrlPr>
            </m:barPr>
            <m:e>
              <m:r>
                <w:rPr>
                  <w:rFonts w:ascii="Cambria Math" w:hAnsi="Cambria Math"/>
                </w:rPr>
                <m:t>C</m:t>
              </m:r>
            </m:e>
          </m:bar>
          <m:r>
            <w:rPr>
              <w:rFonts w:ascii="Cambria Math" w:hAnsi="Cambria Math"/>
            </w:rPr>
            <m:t>(o)=</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u</m:t>
                  </m:r>
                </m:sub>
              </m:sSub>
            </m:e>
          </m:nary>
          <m:r>
            <w:rPr>
              <w:rFonts w:ascii="Cambria Math" w:hAnsi="Cambria Math"/>
            </w:rPr>
            <m:t>(o)</m:t>
          </m:r>
        </m:oMath>
      </m:oMathPara>
    </w:p>
    <w:p w14:paraId="2B56E4BD" w14:textId="77777777" w:rsidR="00565930" w:rsidRDefault="00000000">
      <w:pPr>
        <w:pStyle w:val="FirstParagraph"/>
      </w:pPr>
      <w:r>
        <w:t xml:space="preserve">An outcome with </w:t>
      </w:r>
      <w:r>
        <w:rPr>
          <w:b/>
        </w:rPr>
        <w:t>low attainment and high mean confidence</w:t>
      </w:r>
      <w:r>
        <w:t xml:space="preserve"> is a </w:t>
      </w:r>
      <w:r>
        <w:rPr>
          <w:i/>
        </w:rPr>
        <w:t>confirmed gap</w:t>
      </w:r>
      <w:r>
        <w:t xml:space="preserve"> (priority intervention); </w:t>
      </w:r>
      <w:r>
        <w:rPr>
          <w:b/>
        </w:rPr>
        <w:t>ambiguous attainment with low confidence</w:t>
      </w:r>
      <w:r>
        <w:t xml:space="preserve"> signals </w:t>
      </w:r>
      <w:r>
        <w:rPr>
          <w:i/>
        </w:rPr>
        <w:t>under‑evidencing</w:t>
      </w:r>
      <w:r>
        <w:t xml:space="preserve"> — more assessment is needed, not re‑teaching. This is the operational translation of “mastery ≠ confidence” at the cohort level.</w:t>
      </w:r>
    </w:p>
    <w:p w14:paraId="3F91F1AA" w14:textId="77777777" w:rsidR="00565930" w:rsidRDefault="00000000">
      <w:pPr>
        <w:pStyle w:val="Titolo2"/>
      </w:pPr>
      <w:bookmarkStart w:id="11" w:name="X7406de7d77348a7d5868f31824bae0e9637f840"/>
      <w:r>
        <w:t>5.2 Root‑cause analysis on the prerequisite graph</w:t>
      </w:r>
      <w:bookmarkEnd w:id="11"/>
    </w:p>
    <w:p w14:paraId="5CF0D9C7" w14:textId="77777777" w:rsidR="00565930" w:rsidRDefault="00000000">
      <w:pPr>
        <w:pStyle w:val="FirstParagraph"/>
      </w:pPr>
      <w:r>
        <w:t xml:space="preserve">Selecting a weak CLO (e.g. CLO‑2), the system </w:t>
      </w:r>
      <w:r>
        <w:rPr>
          <w:b/>
        </w:rPr>
        <w:t>decomposes</w:t>
      </w:r>
      <w:r>
        <w:t xml:space="preserve"> along </w:t>
      </w:r>
      <w:r>
        <w:rPr>
          <w:rStyle w:val="VerbatimChar"/>
        </w:rPr>
        <w:t>CONTRIBUTES_TO</w:t>
      </w:r>
      <w:r>
        <w:t xml:space="preserve"> to the MLOs, then to concepts, and computes for each prerequisite concept </w:t>
      </w:r>
      <m:oMath>
        <m:r>
          <w:rPr>
            <w:rFonts w:ascii="Cambria Math" w:hAnsi="Cambria Math"/>
          </w:rPr>
          <m:t>p</m:t>
        </m:r>
      </m:oMath>
      <w:r>
        <w:t xml:space="preserve"> an </w:t>
      </w:r>
      <w:r>
        <w:rPr>
          <w:b/>
        </w:rPr>
        <w:t>attribution</w:t>
      </w:r>
      <w:r>
        <w:t xml:space="preserve"> score (where knowledge transfer breaks down):</w:t>
      </w:r>
    </w:p>
    <w:p w14:paraId="1EDF8B06" w14:textId="77777777" w:rsidR="00565930" w:rsidRDefault="00000000">
      <w:pPr>
        <w:pStyle w:val="Corpotesto"/>
      </w:pPr>
      <m:oMathPara>
        <m:oMathParaPr>
          <m:jc m:val="center"/>
        </m:oMathParaPr>
        <m:oMath>
          <m:r>
            <m:rPr>
              <m:nor/>
            </m:rPr>
            <m:t>Blame</m:t>
          </m:r>
          <m:r>
            <w:rPr>
              <w:rFonts w:ascii="Cambria Math" w:hAnsi="Cambria Math"/>
            </w:rPr>
            <m:t>(p)=</m:t>
          </m:r>
          <m:r>
            <m:rPr>
              <m:nor/>
            </m:rPr>
            <m:t>blockedFraction</m:t>
          </m:r>
          <m:r>
            <w:rPr>
              <w:rFonts w:ascii="Cambria Math" w:hAnsi="Cambria Math"/>
            </w:rPr>
            <m:t>(p)⋅</m:t>
          </m:r>
          <m:r>
            <m:rPr>
              <m:nor/>
            </m:rPr>
            <m:t>prereqCentrality</m:t>
          </m:r>
          <m:r>
            <w:rPr>
              <w:rFonts w:ascii="Cambria Math" w:hAnsi="Cambria Math"/>
            </w:rPr>
            <m:t>(p)⋅(θ-</m:t>
          </m:r>
          <m:bar>
            <m:barPr>
              <m:pos m:val="top"/>
              <m:ctrlPr>
                <w:rPr>
                  <w:rFonts w:ascii="Cambria Math" w:hAnsi="Cambria Math"/>
                </w:rPr>
              </m:ctrlPr>
            </m:barPr>
            <m:e>
              <m:r>
                <w:rPr>
                  <w:rFonts w:ascii="Cambria Math" w:hAnsi="Cambria Math"/>
                </w:rPr>
                <m:t>E</m:t>
              </m:r>
            </m:e>
          </m:bar>
          <m: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m:t>
              </m:r>
            </m:sub>
          </m:sSub>
        </m:oMath>
      </m:oMathPara>
    </w:p>
    <w:p w14:paraId="00E535F5" w14:textId="77777777" w:rsidR="00565930" w:rsidRDefault="00000000">
      <w:pPr>
        <w:pStyle w:val="FirstParagraph"/>
      </w:pPr>
      <m:oMathPara>
        <m:oMathParaPr>
          <m:jc m:val="center"/>
        </m:oMathParaPr>
        <m:oMath>
          <m:r>
            <m:rPr>
              <m:nor/>
            </m:rPr>
            <m:t>blockedFraction</m:t>
          </m:r>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r>
                <m:rPr>
                  <m:sty m:val="b"/>
                </m:rPr>
                <w:rPr>
                  <w:rFonts w:ascii="Cambria Math" w:hAnsi="Cambria Math"/>
                </w:rPr>
                <m:t>1</m:t>
              </m:r>
            </m:e>
          </m:nary>
          <m:r>
            <w:rPr>
              <w:rFonts w:ascii="Cambria Math" w:hAnsi="Cambria Math"/>
            </w:rPr>
            <m:t>[</m:t>
          </m:r>
          <m:sSub>
            <m:sSubPr>
              <m:ctrlPr>
                <w:rPr>
                  <w:rFonts w:ascii="Cambria Math" w:hAnsi="Cambria Math"/>
                </w:rPr>
              </m:ctrlPr>
            </m:sSubPr>
            <m:e>
              <m:r>
                <m:rPr>
                  <m:nor/>
                </m:rPr>
                <m:t>readiness</m:t>
              </m:r>
            </m:e>
            <m:sub>
              <m:r>
                <w:rPr>
                  <w:rFonts w:ascii="Cambria Math" w:hAnsi="Cambria Math"/>
                </w:rPr>
                <m:t>u</m:t>
              </m:r>
            </m:sub>
          </m:sSub>
          <m:r>
            <w:rPr>
              <w:rFonts w:ascii="Cambria Math" w:hAnsi="Cambria Math"/>
            </w:rPr>
            <m:t>(</m:t>
          </m:r>
          <m:r>
            <m:rPr>
              <m:nor/>
            </m:rPr>
            <m:t>child</m:t>
          </m:r>
          <m:r>
            <w:rPr>
              <w:rFonts w:ascii="Cambria Math" w:hAnsi="Cambria Math"/>
            </w:rPr>
            <m:t>(p)) </m:t>
          </m:r>
          <m:r>
            <m:rPr>
              <m:nor/>
            </m:rPr>
            <m:t>capped by</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(p)&lt;τ]</m:t>
          </m:r>
        </m:oMath>
      </m:oMathPara>
    </w:p>
    <w:p w14:paraId="7453A422" w14:textId="77777777" w:rsidR="00565930" w:rsidRDefault="00000000">
      <w:pPr>
        <w:pStyle w:val="FirstParagraph"/>
      </w:pPr>
      <w:r>
        <w:t xml:space="preserve">The instructor receives an ordered explanation — </w:t>
      </w:r>
      <w:r>
        <w:rPr>
          <w:i/>
        </w:rPr>
        <w:t>contributing MLOs → concepts → highest‑Blame prerequisites → assessment coverage → evidence confidence</w:t>
      </w:r>
      <w:r>
        <w:t xml:space="preserve"> — instead of a generic graph explorer. </w:t>
      </w:r>
      <w:r>
        <w:lastRenderedPageBreak/>
        <w:t xml:space="preserve">Example: if 60 % of students with a weak CLO‑2 have </w:t>
      </w:r>
      <m:oMath>
        <m:r>
          <w:rPr>
            <w:rFonts w:ascii="Cambria Math" w:hAnsi="Cambria Math"/>
          </w:rPr>
          <m:t>E(</m:t>
        </m:r>
        <m:r>
          <m:rPr>
            <m:nor/>
          </m:rPr>
          <m:t>LinearRegression</m:t>
        </m:r>
        <m:r>
          <w:rPr>
            <w:rFonts w:ascii="Cambria Math" w:hAnsi="Cambria Math"/>
          </w:rPr>
          <m:t>)&lt;0.5</m:t>
        </m:r>
      </m:oMath>
      <w:r>
        <w:t xml:space="preserve">, the highest </w:t>
      </w:r>
      <w:r>
        <w:rPr>
          <w:b/>
        </w:rPr>
        <w:t>Blame</w:t>
      </w:r>
      <w:r>
        <w:t xml:space="preserve"> falls on </w:t>
      </w:r>
      <w:r>
        <w:rPr>
          <w:i/>
        </w:rPr>
        <w:t>Linear Regression</w:t>
      </w:r>
      <w:r>
        <w:t>: efficient remediation is upstream, not on “overfitting”.</w:t>
      </w:r>
    </w:p>
    <w:p w14:paraId="47CCAC08" w14:textId="77777777" w:rsidR="00565930" w:rsidRDefault="00000000">
      <w:pPr>
        <w:pStyle w:val="Titolo2"/>
      </w:pPr>
      <w:bookmarkStart w:id="12" w:name="assessment-validity-and-coverage"/>
      <w:r>
        <w:t>5.3 Assessment validity and coverage</w:t>
      </w:r>
      <w:bookmarkEnd w:id="12"/>
    </w:p>
    <w:p w14:paraId="11F081B5" w14:textId="77777777" w:rsidR="00565930" w:rsidRDefault="00000000">
      <w:pPr>
        <w:pStyle w:val="FirstParagraph"/>
      </w:pPr>
      <w:r>
        <w:t>The EKG checks constructive‑alignment invariants [Biggs, 1996]:</w:t>
      </w:r>
    </w:p>
    <w:p w14:paraId="52ACA537" w14:textId="77777777" w:rsidR="00565930" w:rsidRDefault="00000000">
      <w:pPr>
        <w:pStyle w:val="Corpotesto"/>
      </w:pPr>
      <m:oMathPara>
        <m:oMathParaPr>
          <m:jc m:val="center"/>
        </m:oMathParaPr>
        <m:oMath>
          <m:r>
            <m:rPr>
              <m:nor/>
            </m:rPr>
            <m:t>Coverage</m:t>
          </m:r>
          <m:r>
            <w:rPr>
              <w:rFonts w:ascii="Cambria Math" w:hAnsi="Cambria Math"/>
            </w:rPr>
            <m:t>=</m:t>
          </m:r>
          <m:f>
            <m:fPr>
              <m:ctrlPr>
                <w:rPr>
                  <w:rFonts w:ascii="Cambria Math" w:hAnsi="Cambria Math"/>
                </w:rPr>
              </m:ctrlPr>
            </m:fPr>
            <m:num>
              <m:r>
                <w:rPr>
                  <w:rFonts w:ascii="Cambria Math" w:hAnsi="Cambria Math"/>
                </w:rPr>
                <m:t>|{ o:∃ </m:t>
              </m:r>
              <m:r>
                <m:rPr>
                  <m:nor/>
                </m:rPr>
                <m:t>Assessment</m:t>
              </m:r>
              <m:r>
                <w:rPr>
                  <w:rFonts w:ascii="Cambria Math" w:hAnsi="Cambria Math"/>
                </w:rPr>
                <m:t> </m:t>
              </m:r>
              <m:r>
                <m:rPr>
                  <m:nor/>
                </m:rPr>
                <m:t>ASSESSES</m:t>
              </m:r>
              <m:r>
                <w:rPr>
                  <w:rFonts w:ascii="Cambria Math" w:hAnsi="Cambria Math"/>
                </w:rPr>
                <m:t> o }|</m:t>
              </m:r>
            </m:num>
            <m:den>
              <m:r>
                <w:rPr>
                  <w:rFonts w:ascii="Cambria Math" w:hAnsi="Cambria Math"/>
                </w:rPr>
                <m:t>|</m:t>
              </m:r>
              <m:r>
                <m:rPr>
                  <m:nor/>
                </m:rPr>
                <m:t>published outcomes</m:t>
              </m:r>
              <m:r>
                <w:rPr>
                  <w:rFonts w:ascii="Cambria Math" w:hAnsi="Cambria Math"/>
                </w:rPr>
                <m:t>|</m:t>
              </m:r>
            </m:den>
          </m:f>
        </m:oMath>
      </m:oMathPara>
    </w:p>
    <w:p w14:paraId="444B0C1E" w14:textId="77777777" w:rsidR="00565930" w:rsidRDefault="00000000">
      <w:pPr>
        <w:pStyle w:val="FirstParagraph"/>
      </w:pPr>
      <w:r>
        <w:t xml:space="preserve">and, at item level, </w:t>
      </w:r>
      <w:r>
        <w:rPr>
          <w:b/>
        </w:rPr>
        <w:t>discrimination</w:t>
      </w:r>
      <w:r>
        <w:t xml:space="preserve"> flags weak questions via the point‑biserial correlation between item outcome and total score:</w:t>
      </w:r>
    </w:p>
    <w:p w14:paraId="0E1CAC46" w14:textId="77777777" w:rsidR="00565930" w:rsidRDefault="00000000">
      <w:pPr>
        <w:pStyle w:val="Corpotesto"/>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pb</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num>
            <m:den>
              <m:sSub>
                <m:sSubPr>
                  <m:ctrlPr>
                    <w:rPr>
                      <w:rFonts w:ascii="Cambria Math" w:hAnsi="Cambria Math"/>
                    </w:rPr>
                  </m:ctrlPr>
                </m:sSubPr>
                <m:e>
                  <m:r>
                    <w:rPr>
                      <w:rFonts w:ascii="Cambria Math" w:hAnsi="Cambria Math"/>
                    </w:rPr>
                    <m:t>s</m:t>
                  </m:r>
                </m:e>
                <m:sub>
                  <m:r>
                    <w:rPr>
                      <w:rFonts w:ascii="Cambria Math" w:hAnsi="Cambria Math"/>
                    </w:rPr>
                    <m:t>x</m:t>
                  </m:r>
                </m:sub>
              </m:sSub>
            </m:den>
          </m:f>
          <m:rad>
            <m:radPr>
              <m:degHide m:val="1"/>
              <m:ctrlPr>
                <w:rPr>
                  <w:rFonts w:ascii="Cambria Math" w:hAnsi="Cambria Math"/>
                </w:rPr>
              </m:ctrlPr>
            </m:radPr>
            <m:deg/>
            <m:e>
              <m:r>
                <w:rPr>
                  <w:rFonts w:ascii="Cambria Math" w:hAnsi="Cambria Math"/>
                </w:rPr>
                <m:t>p (1-p)</m:t>
              </m:r>
            </m:e>
          </m:rad>
        </m:oMath>
      </m:oMathPara>
    </w:p>
    <w:p w14:paraId="7D09B6F1" w14:textId="77777777" w:rsidR="00565930" w:rsidRDefault="00000000">
      <w:pPr>
        <w:pStyle w:val="FirstParagraph"/>
      </w:pPr>
      <w:r>
        <w:t xml:space="preserve">with </w:t>
      </w:r>
      <m:oMath>
        <m:r>
          <w:rPr>
            <w:rFonts w:ascii="Cambria Math" w:hAnsi="Cambria Math"/>
          </w:rPr>
          <m:t>p</m:t>
        </m:r>
      </m:oMath>
      <w:r>
        <w:t xml:space="preserve"> the proportion of correct responses. Items with low or negative </w:t>
      </w:r>
      <m:oMath>
        <m:sSub>
          <m:sSubPr>
            <m:ctrlPr>
              <w:rPr>
                <w:rFonts w:ascii="Cambria Math" w:hAnsi="Cambria Math"/>
              </w:rPr>
            </m:ctrlPr>
          </m:sSubPr>
          <m:e>
            <m:r>
              <w:rPr>
                <w:rFonts w:ascii="Cambria Math" w:hAnsi="Cambria Math"/>
              </w:rPr>
              <m:t>r</m:t>
            </m:r>
          </m:e>
          <m:sub>
            <m:r>
              <w:rPr>
                <w:rFonts w:ascii="Cambria Math" w:hAnsi="Cambria Math"/>
              </w:rPr>
              <m:t>pb</m:t>
            </m:r>
          </m:sub>
        </m:sSub>
      </m:oMath>
      <w:r>
        <w:t xml:space="preserve"> warrant revision; this dialogues with psychometric theory (IRT 2PL: item </w:t>
      </w:r>
      <w:r>
        <w:rPr>
          <w:i/>
        </w:rPr>
        <w:t>difficulty</w:t>
      </w:r>
      <w:r>
        <w:t xml:space="preserve"> </w:t>
      </w:r>
      <m:oMath>
        <m:r>
          <w:rPr>
            <w:rFonts w:ascii="Cambria Math" w:hAnsi="Cambria Math"/>
          </w:rPr>
          <m:t>b</m:t>
        </m:r>
      </m:oMath>
      <w:r>
        <w:t xml:space="preserve"> and </w:t>
      </w:r>
      <w:r>
        <w:rPr>
          <w:i/>
        </w:rPr>
        <w:t>discrimination</w:t>
      </w:r>
      <w:r>
        <w:t xml:space="preserve"> </w:t>
      </w:r>
      <m:oMath>
        <m:r>
          <w:rPr>
            <w:rFonts w:ascii="Cambria Math" w:hAnsi="Cambria Math"/>
          </w:rPr>
          <m:t>a</m:t>
        </m:r>
      </m:oMath>
      <w:r>
        <w:t xml:space="preserve">) used to calibrate items [Lord, 1980; van der Linden &amp; Hambleton, 1997]. The result: the instructor </w:t>
      </w:r>
      <w:r>
        <w:rPr>
          <w:b/>
        </w:rPr>
        <w:t>controls knowledge transfer</w:t>
      </w:r>
      <w:r>
        <w:t xml:space="preserve"> across four levers — outcome health, prerequisite root‑cause, assessment validity/coverage, and content coverage — while retaining pedagogical authority (agents operate within inspectable envelopes).</w:t>
      </w:r>
    </w:p>
    <w:p w14:paraId="78BC409F" w14:textId="77777777" w:rsidR="00565930" w:rsidRDefault="00000000">
      <w:pPr>
        <w:pStyle w:val="Titolo2"/>
      </w:pPr>
      <w:bookmarkStart w:id="13" w:name="Xc292d9e44ddd6e56ca6409faea260a894c795b7"/>
      <w:r>
        <w:t>5.4 From faculty to programme and institution</w:t>
      </w:r>
      <w:bookmarkEnd w:id="13"/>
    </w:p>
    <w:p w14:paraId="69080460" w14:textId="77777777" w:rsidR="00565930" w:rsidRDefault="00000000">
      <w:pPr>
        <w:pStyle w:val="FirstParagraph"/>
      </w:pPr>
      <w:r>
        <w:t xml:space="preserve">The same structures scale up: </w:t>
      </w:r>
      <w:r>
        <w:rPr>
          <w:b/>
        </w:rPr>
        <w:t>Course × Outcome</w:t>
      </w:r>
      <w:r>
        <w:t xml:space="preserve"> / </w:t>
      </w:r>
      <w:r>
        <w:rPr>
          <w:b/>
        </w:rPr>
        <w:t>Course × Competency</w:t>
      </w:r>
      <w:r>
        <w:t xml:space="preserve"> matrices, prerequisite integrity and orphan concepts for the dean; the </w:t>
      </w:r>
      <w:r>
        <w:rPr>
          <w:b/>
        </w:rPr>
        <w:t>Programme → CLO → MLO → Lesson → Assessment → Evidence</w:t>
      </w:r>
      <w:r>
        <w:t xml:space="preserve"> traceability as a </w:t>
      </w:r>
      <w:r>
        <w:rPr>
          <w:i/>
        </w:rPr>
        <w:t>view</w:t>
      </w:r>
      <w:r>
        <w:t xml:space="preserve"> for the provost, feeding accreditation indicators (in Italy, AVA / Ministerial Decree 1154) — continuous rather than annual controls.</w:t>
      </w:r>
    </w:p>
    <w:p w14:paraId="739CD760" w14:textId="77777777" w:rsidR="00565930" w:rsidRDefault="00000000">
      <w:pPr>
        <w:pStyle w:val="Titolo1"/>
      </w:pPr>
      <w:bookmarkStart w:id="14" w:name="why-these-choices-in-scientific-summary"/>
      <w:r>
        <w:t>6. Why these choices, in scientific summary</w:t>
      </w:r>
      <w:bookmarkEnd w:id="14"/>
    </w:p>
    <w:tbl>
      <w:tblPr>
        <w:tblStyle w:val="Table"/>
        <w:tblW w:w="5000" w:type="pct"/>
        <w:tblLook w:val="07E0" w:firstRow="1" w:lastRow="1" w:firstColumn="1" w:lastColumn="1" w:noHBand="1" w:noVBand="1"/>
      </w:tblPr>
      <w:tblGrid>
        <w:gridCol w:w="4066"/>
        <w:gridCol w:w="2759"/>
        <w:gridCol w:w="3363"/>
      </w:tblGrid>
      <w:tr w:rsidR="00565930" w14:paraId="04EC4F81" w14:textId="77777777">
        <w:tc>
          <w:tcPr>
            <w:tcW w:w="0" w:type="auto"/>
            <w:tcBorders>
              <w:bottom w:val="single" w:sz="0" w:space="0" w:color="auto"/>
            </w:tcBorders>
            <w:vAlign w:val="bottom"/>
          </w:tcPr>
          <w:p w14:paraId="62FF6B6B" w14:textId="77777777" w:rsidR="00565930" w:rsidRDefault="00000000">
            <w:pPr>
              <w:pStyle w:val="Compact"/>
            </w:pPr>
            <w:r>
              <w:t>DLU choice</w:t>
            </w:r>
          </w:p>
        </w:tc>
        <w:tc>
          <w:tcPr>
            <w:tcW w:w="0" w:type="auto"/>
            <w:tcBorders>
              <w:bottom w:val="single" w:sz="0" w:space="0" w:color="auto"/>
            </w:tcBorders>
            <w:vAlign w:val="bottom"/>
          </w:tcPr>
          <w:p w14:paraId="7BC8D723" w14:textId="77777777" w:rsidR="00565930" w:rsidRDefault="00000000">
            <w:pPr>
              <w:pStyle w:val="Compact"/>
            </w:pPr>
            <w:r>
              <w:t>Grounding</w:t>
            </w:r>
          </w:p>
        </w:tc>
        <w:tc>
          <w:tcPr>
            <w:tcW w:w="0" w:type="auto"/>
            <w:tcBorders>
              <w:bottom w:val="single" w:sz="0" w:space="0" w:color="auto"/>
            </w:tcBorders>
            <w:vAlign w:val="bottom"/>
          </w:tcPr>
          <w:p w14:paraId="62F24FCD" w14:textId="77777777" w:rsidR="00565930" w:rsidRDefault="00000000">
            <w:pPr>
              <w:pStyle w:val="Compact"/>
            </w:pPr>
            <w:r>
              <w:t>References</w:t>
            </w:r>
          </w:p>
        </w:tc>
      </w:tr>
      <w:tr w:rsidR="00565930" w14:paraId="0C915F25" w14:textId="77777777">
        <w:tc>
          <w:tcPr>
            <w:tcW w:w="0" w:type="auto"/>
          </w:tcPr>
          <w:p w14:paraId="78B2CE25" w14:textId="77777777" w:rsidR="00565930" w:rsidRDefault="00000000">
            <w:pPr>
              <w:pStyle w:val="Compact"/>
            </w:pPr>
            <w:r>
              <w:t xml:space="preserve">Prerequisites as a queryable </w:t>
            </w:r>
            <w:r>
              <w:rPr>
                <w:b/>
              </w:rPr>
              <w:t>DAG</w:t>
            </w:r>
          </w:p>
        </w:tc>
        <w:tc>
          <w:tcPr>
            <w:tcW w:w="0" w:type="auto"/>
          </w:tcPr>
          <w:p w14:paraId="7E9B49D0" w14:textId="77777777" w:rsidR="00565930" w:rsidRDefault="00000000">
            <w:pPr>
              <w:pStyle w:val="Compact"/>
            </w:pPr>
            <w:r>
              <w:t>prerequisite structure of EKGs; ZPD</w:t>
            </w:r>
          </w:p>
        </w:tc>
        <w:tc>
          <w:tcPr>
            <w:tcW w:w="0" w:type="auto"/>
          </w:tcPr>
          <w:p w14:paraId="266BB1D1" w14:textId="77777777" w:rsidR="00565930" w:rsidRDefault="00000000">
            <w:pPr>
              <w:pStyle w:val="Compact"/>
            </w:pPr>
            <w:r>
              <w:t>Chen 2018; Vygotsky 1978</w:t>
            </w:r>
          </w:p>
        </w:tc>
      </w:tr>
      <w:tr w:rsidR="00565930" w14:paraId="6A4F0A84" w14:textId="77777777">
        <w:tc>
          <w:tcPr>
            <w:tcW w:w="0" w:type="auto"/>
          </w:tcPr>
          <w:p w14:paraId="3FFBB51B" w14:textId="77777777" w:rsidR="00565930" w:rsidRDefault="00000000">
            <w:pPr>
              <w:pStyle w:val="Compact"/>
            </w:pPr>
            <w:r>
              <w:t xml:space="preserve">Latent state </w:t>
            </w:r>
            <m:oMath>
              <m:r>
                <w:rPr>
                  <w:rFonts w:ascii="Cambria Math" w:hAnsi="Cambria Math"/>
                </w:rPr>
                <m:t>(M,C)</m:t>
              </m:r>
            </m:oMath>
            <w:r>
              <w:t xml:space="preserve"> </w:t>
            </w:r>
            <w:r>
              <w:rPr>
                <w:b/>
              </w:rPr>
              <w:t>with uncertainty</w:t>
            </w:r>
          </w:p>
        </w:tc>
        <w:tc>
          <w:tcPr>
            <w:tcW w:w="0" w:type="auto"/>
          </w:tcPr>
          <w:p w14:paraId="365F9C29" w14:textId="77777777" w:rsidR="00565930" w:rsidRDefault="00000000">
            <w:pPr>
              <w:pStyle w:val="Compact"/>
            </w:pPr>
            <w:r>
              <w:t>knowledge tracing + open learner model</w:t>
            </w:r>
          </w:p>
        </w:tc>
        <w:tc>
          <w:tcPr>
            <w:tcW w:w="0" w:type="auto"/>
          </w:tcPr>
          <w:p w14:paraId="0CF69216" w14:textId="77777777" w:rsidR="00565930" w:rsidRDefault="00000000">
            <w:pPr>
              <w:pStyle w:val="Compact"/>
            </w:pPr>
            <w:r>
              <w:t>Corbett &amp; Anderson 1995; Pelánek 2017; Bull &amp; Kay 2010</w:t>
            </w:r>
          </w:p>
        </w:tc>
      </w:tr>
      <w:tr w:rsidR="00565930" w14:paraId="3F78F8B4" w14:textId="77777777">
        <w:tc>
          <w:tcPr>
            <w:tcW w:w="0" w:type="auto"/>
          </w:tcPr>
          <w:p w14:paraId="75535074" w14:textId="77777777" w:rsidR="00565930" w:rsidRDefault="00000000">
            <w:pPr>
              <w:pStyle w:val="Compact"/>
            </w:pPr>
            <w:r>
              <w:rPr>
                <w:b/>
              </w:rPr>
              <w:t>Evidence‑driven</w:t>
            </w:r>
            <w:r>
              <w:t xml:space="preserve"> progression (mastery)</w:t>
            </w:r>
          </w:p>
        </w:tc>
        <w:tc>
          <w:tcPr>
            <w:tcW w:w="0" w:type="auto"/>
          </w:tcPr>
          <w:p w14:paraId="18425E91" w14:textId="77777777" w:rsidR="00565930" w:rsidRDefault="00000000">
            <w:pPr>
              <w:pStyle w:val="Compact"/>
            </w:pPr>
            <w:r>
              <w:t>2‑sigma / mastery learning</w:t>
            </w:r>
          </w:p>
        </w:tc>
        <w:tc>
          <w:tcPr>
            <w:tcW w:w="0" w:type="auto"/>
          </w:tcPr>
          <w:p w14:paraId="45328DDC" w14:textId="77777777" w:rsidR="00565930" w:rsidRDefault="00000000">
            <w:pPr>
              <w:pStyle w:val="Compact"/>
            </w:pPr>
            <w:r>
              <w:t>Bloom 1984</w:t>
            </w:r>
          </w:p>
        </w:tc>
      </w:tr>
      <w:tr w:rsidR="00565930" w14:paraId="69EFCCF8" w14:textId="77777777">
        <w:tc>
          <w:tcPr>
            <w:tcW w:w="0" w:type="auto"/>
          </w:tcPr>
          <w:p w14:paraId="1EE9EBAE" w14:textId="77777777" w:rsidR="00565930" w:rsidRDefault="00000000">
            <w:pPr>
              <w:pStyle w:val="Compact"/>
            </w:pPr>
            <w:r>
              <w:t xml:space="preserve">Temporal </w:t>
            </w:r>
            <w:r>
              <w:rPr>
                <w:b/>
              </w:rPr>
              <w:t>decay</w:t>
            </w:r>
            <w:r>
              <w:t>, spaced practice</w:t>
            </w:r>
          </w:p>
        </w:tc>
        <w:tc>
          <w:tcPr>
            <w:tcW w:w="0" w:type="auto"/>
          </w:tcPr>
          <w:p w14:paraId="0F034755" w14:textId="77777777" w:rsidR="00565930" w:rsidRDefault="00000000">
            <w:pPr>
              <w:pStyle w:val="Compact"/>
            </w:pPr>
            <w:r>
              <w:t>forgetting curve, HLR, testing effect</w:t>
            </w:r>
          </w:p>
        </w:tc>
        <w:tc>
          <w:tcPr>
            <w:tcW w:w="0" w:type="auto"/>
          </w:tcPr>
          <w:p w14:paraId="0BD4488C" w14:textId="77777777" w:rsidR="00565930" w:rsidRDefault="00000000">
            <w:pPr>
              <w:pStyle w:val="Compact"/>
            </w:pPr>
            <w:r>
              <w:t>Ebbinghaus 1885; Settles &amp; Meeder 2016; Roediger &amp; Karpicke 2006</w:t>
            </w:r>
          </w:p>
        </w:tc>
      </w:tr>
      <w:tr w:rsidR="00565930" w14:paraId="6595BBC8" w14:textId="77777777">
        <w:tc>
          <w:tcPr>
            <w:tcW w:w="0" w:type="auto"/>
          </w:tcPr>
          <w:p w14:paraId="2F972315" w14:textId="77777777" w:rsidR="00565930" w:rsidRDefault="00000000">
            <w:pPr>
              <w:pStyle w:val="Compact"/>
            </w:pPr>
            <w:r>
              <w:rPr>
                <w:b/>
              </w:rPr>
              <w:t>Effortful</w:t>
            </w:r>
            <w:r>
              <w:t>, not frictionless activity</w:t>
            </w:r>
          </w:p>
        </w:tc>
        <w:tc>
          <w:tcPr>
            <w:tcW w:w="0" w:type="auto"/>
          </w:tcPr>
          <w:p w14:paraId="5429A010" w14:textId="77777777" w:rsidR="00565930" w:rsidRDefault="00000000">
            <w:pPr>
              <w:pStyle w:val="Compact"/>
            </w:pPr>
            <w:r>
              <w:t>desirable difficulties</w:t>
            </w:r>
          </w:p>
        </w:tc>
        <w:tc>
          <w:tcPr>
            <w:tcW w:w="0" w:type="auto"/>
          </w:tcPr>
          <w:p w14:paraId="5BEE71EF" w14:textId="77777777" w:rsidR="00565930" w:rsidRDefault="00000000">
            <w:pPr>
              <w:pStyle w:val="Compact"/>
            </w:pPr>
            <w:r>
              <w:t>Bjork &amp; Bjork 2011</w:t>
            </w:r>
          </w:p>
        </w:tc>
      </w:tr>
      <w:tr w:rsidR="00565930" w14:paraId="7342EBC7" w14:textId="77777777">
        <w:tc>
          <w:tcPr>
            <w:tcW w:w="0" w:type="auto"/>
          </w:tcPr>
          <w:p w14:paraId="3C51DF51" w14:textId="77777777" w:rsidR="00565930" w:rsidRDefault="00000000">
            <w:pPr>
              <w:pStyle w:val="Compact"/>
            </w:pPr>
            <w:r>
              <w:rPr>
                <w:b/>
              </w:rPr>
              <w:t>Constructive alignment</w:t>
            </w:r>
            <w:r>
              <w:t xml:space="preserve"> outcome→activity→evidence</w:t>
            </w:r>
          </w:p>
        </w:tc>
        <w:tc>
          <w:tcPr>
            <w:tcW w:w="0" w:type="auto"/>
          </w:tcPr>
          <w:p w14:paraId="2BF10357" w14:textId="77777777" w:rsidR="00565930" w:rsidRDefault="00000000">
            <w:pPr>
              <w:pStyle w:val="Compact"/>
            </w:pPr>
            <w:r>
              <w:t>instructional alignment</w:t>
            </w:r>
          </w:p>
        </w:tc>
        <w:tc>
          <w:tcPr>
            <w:tcW w:w="0" w:type="auto"/>
          </w:tcPr>
          <w:p w14:paraId="5819DD12" w14:textId="77777777" w:rsidR="00565930" w:rsidRDefault="00000000">
            <w:pPr>
              <w:pStyle w:val="Compact"/>
            </w:pPr>
            <w:r>
              <w:t>Biggs 1996</w:t>
            </w:r>
          </w:p>
        </w:tc>
      </w:tr>
      <w:tr w:rsidR="00565930" w14:paraId="3E807F1C" w14:textId="77777777">
        <w:tc>
          <w:tcPr>
            <w:tcW w:w="0" w:type="auto"/>
          </w:tcPr>
          <w:p w14:paraId="695C353D" w14:textId="77777777" w:rsidR="00565930" w:rsidRDefault="00000000">
            <w:pPr>
              <w:pStyle w:val="Compact"/>
            </w:pPr>
            <w:r>
              <w:t xml:space="preserve">Graph‑grounded tutoring </w:t>
            </w:r>
            <w:r>
              <w:lastRenderedPageBreak/>
              <w:t>(GraphRAG); explicit pedagogy</w:t>
            </w:r>
          </w:p>
        </w:tc>
        <w:tc>
          <w:tcPr>
            <w:tcW w:w="0" w:type="auto"/>
          </w:tcPr>
          <w:p w14:paraId="1173606C" w14:textId="77777777" w:rsidR="00565930" w:rsidRDefault="00000000">
            <w:pPr>
              <w:pStyle w:val="Compact"/>
            </w:pPr>
            <w:r>
              <w:lastRenderedPageBreak/>
              <w:t xml:space="preserve">RAG over knowledge </w:t>
            </w:r>
            <w:r>
              <w:lastRenderedPageBreak/>
              <w:t>graphs; tutoring efficacy</w:t>
            </w:r>
          </w:p>
        </w:tc>
        <w:tc>
          <w:tcPr>
            <w:tcW w:w="0" w:type="auto"/>
          </w:tcPr>
          <w:p w14:paraId="1246BAFF" w14:textId="77777777" w:rsidR="00565930" w:rsidRDefault="00000000">
            <w:pPr>
              <w:pStyle w:val="Compact"/>
            </w:pPr>
            <w:r>
              <w:lastRenderedPageBreak/>
              <w:t>Edge 2024; VanLehn 2011</w:t>
            </w:r>
          </w:p>
        </w:tc>
      </w:tr>
      <w:tr w:rsidR="00565930" w14:paraId="2C6AF423" w14:textId="77777777">
        <w:tc>
          <w:tcPr>
            <w:tcW w:w="0" w:type="auto"/>
          </w:tcPr>
          <w:p w14:paraId="62993108" w14:textId="77777777" w:rsidR="00565930" w:rsidRDefault="00000000">
            <w:pPr>
              <w:pStyle w:val="Compact"/>
            </w:pPr>
            <w:r>
              <w:t xml:space="preserve">Neural (DKT) as an </w:t>
            </w:r>
            <w:r>
              <w:rPr>
                <w:i/>
              </w:rPr>
              <w:t>estimator</w:t>
            </w:r>
            <w:r>
              <w:t>, not pedagogical truth</w:t>
            </w:r>
          </w:p>
        </w:tc>
        <w:tc>
          <w:tcPr>
            <w:tcW w:w="0" w:type="auto"/>
          </w:tcPr>
          <w:p w14:paraId="29FAF446" w14:textId="77777777" w:rsidR="00565930" w:rsidRDefault="00000000">
            <w:pPr>
              <w:pStyle w:val="Compact"/>
            </w:pPr>
            <w:r>
              <w:t>DKT and interpretability limits</w:t>
            </w:r>
          </w:p>
        </w:tc>
        <w:tc>
          <w:tcPr>
            <w:tcW w:w="0" w:type="auto"/>
          </w:tcPr>
          <w:p w14:paraId="1B79D848" w14:textId="77777777" w:rsidR="00565930" w:rsidRDefault="00000000">
            <w:pPr>
              <w:pStyle w:val="Compact"/>
            </w:pPr>
            <w:r>
              <w:t>Piech 2015; Abdelrahman 2023</w:t>
            </w:r>
          </w:p>
        </w:tc>
      </w:tr>
    </w:tbl>
    <w:p w14:paraId="1E249C1D" w14:textId="77777777" w:rsidR="00565930" w:rsidRDefault="00000000">
      <w:pPr>
        <w:pStyle w:val="Corpotesto"/>
      </w:pPr>
      <w:r>
        <w:rPr>
          <w:i/>
        </w:rPr>
        <w:t>Epistemic caveat.</w:t>
      </w:r>
      <w:r>
        <w:t xml:space="preserve"> DKT achieves strong predictive power but is less interpretable; DLU admits it as an </w:t>
      </w:r>
      <w:r>
        <w:rPr>
          <w:b/>
        </w:rPr>
        <w:t>estimation source</w:t>
      </w:r>
      <w:r>
        <w:t xml:space="preserve"> inside the governed Bayesian engine, never as the owner of pedagogy.</w:t>
      </w:r>
    </w:p>
    <w:p w14:paraId="7D85BD41" w14:textId="77777777" w:rsidR="00565930" w:rsidRDefault="00000000">
      <w:pPr>
        <w:pStyle w:val="Titolo1"/>
      </w:pPr>
      <w:bookmarkStart w:id="15" w:name="conclusion"/>
      <w:r>
        <w:t>7. Conclusion</w:t>
      </w:r>
      <w:bookmarkEnd w:id="15"/>
    </w:p>
    <w:p w14:paraId="0EBA53B6" w14:textId="77777777" w:rsidR="00565930" w:rsidRDefault="00000000">
      <w:pPr>
        <w:pStyle w:val="FirstParagraph"/>
      </w:pPr>
      <w:r>
        <w:t xml:space="preserve">Representing knowledge as a graph and the student as an uncertain latent state is not an engineering flourish: it is the condition for operationalising, at scale, established theories of learning. For the student the EKG is mirror and guide (open learner model plus adaptive tutoring); for the instructor it is the instrument that makes </w:t>
      </w:r>
      <w:r>
        <w:rPr>
          <w:b/>
        </w:rPr>
        <w:t>knowledge transfer observable and governable</w:t>
      </w:r>
      <w:r>
        <w:t xml:space="preserve"> (outcome health, prerequisite root‑cause, assessment validity); for the programme and the institution it is assurance of integrity and proof of attainment. It is, properly, the </w:t>
      </w:r>
      <w:r>
        <w:rPr>
          <w:b/>
        </w:rPr>
        <w:t>didactic intelligence</w:t>
      </w:r>
      <w:r>
        <w:t xml:space="preserve"> of the AI‑Native University.</w:t>
      </w:r>
    </w:p>
    <w:p w14:paraId="1D2A3294" w14:textId="77777777" w:rsidR="00565930" w:rsidRDefault="00000000">
      <w:pPr>
        <w:pStyle w:val="Titolo1"/>
      </w:pPr>
      <w:bookmarkStart w:id="16" w:name="references"/>
      <w:r>
        <w:t>8. References</w:t>
      </w:r>
      <w:bookmarkEnd w:id="16"/>
    </w:p>
    <w:p w14:paraId="76E319D9" w14:textId="77777777" w:rsidR="00565930" w:rsidRDefault="00000000">
      <w:pPr>
        <w:pStyle w:val="FirstParagraph"/>
      </w:pPr>
      <w:r>
        <w:t xml:space="preserve">Abdelrahman, G., Wang, Q., &amp; Nunes, B. (2023). </w:t>
      </w:r>
      <w:r>
        <w:rPr>
          <w:i/>
        </w:rPr>
        <w:t>Knowledge Tracing: A Survey.</w:t>
      </w:r>
      <w:r>
        <w:t xml:space="preserve"> arXiv:2105.15106.</w:t>
      </w:r>
    </w:p>
    <w:p w14:paraId="0163A1FB" w14:textId="77777777" w:rsidR="00565930" w:rsidRDefault="00000000">
      <w:pPr>
        <w:pStyle w:val="Corpotesto"/>
      </w:pPr>
      <w:r>
        <w:t xml:space="preserve">Abu‑Salih, B. (2021). </w:t>
      </w:r>
      <w:r>
        <w:rPr>
          <w:i/>
        </w:rPr>
        <w:t>Domain‑specific Knowledge Graphs: A Survey.</w:t>
      </w:r>
      <w:r>
        <w:t xml:space="preserve"> arXiv:2011.00235.</w:t>
      </w:r>
    </w:p>
    <w:p w14:paraId="6649CF4E" w14:textId="77777777" w:rsidR="00565930" w:rsidRDefault="00000000">
      <w:pPr>
        <w:pStyle w:val="Corpotesto"/>
      </w:pPr>
      <w:r>
        <w:t xml:space="preserve">Biggs, J. (1996). </w:t>
      </w:r>
      <w:r>
        <w:rPr>
          <w:i/>
        </w:rPr>
        <w:t>Enhancing Teaching through Constructive Alignment.</w:t>
      </w:r>
      <w:r>
        <w:t xml:space="preserve"> Higher Education, 32, 347–364.</w:t>
      </w:r>
    </w:p>
    <w:p w14:paraId="38A2DB39" w14:textId="77777777" w:rsidR="00565930" w:rsidRDefault="00000000">
      <w:pPr>
        <w:pStyle w:val="Corpotesto"/>
      </w:pPr>
      <w:r>
        <w:t xml:space="preserve">Bjork, E. L., &amp; Bjork, R. A. (2011). </w:t>
      </w:r>
      <w:r>
        <w:rPr>
          <w:i/>
        </w:rPr>
        <w:t>Making Things Hard on Yourself, but in a Good Way: Creating Desirable Difficulties to Enhance Learning.</w:t>
      </w:r>
    </w:p>
    <w:p w14:paraId="5AC0F09F" w14:textId="77777777" w:rsidR="00565930" w:rsidRDefault="00000000">
      <w:pPr>
        <w:pStyle w:val="Corpotesto"/>
      </w:pPr>
      <w:r>
        <w:t xml:space="preserve">Bloom, B. S. (1984). </w:t>
      </w:r>
      <w:r>
        <w:rPr>
          <w:i/>
        </w:rPr>
        <w:t>The 2 Sigma Problem: The Search for Methods of Group Instruction as Effective as One‑to‑One Tutoring.</w:t>
      </w:r>
      <w:r>
        <w:t xml:space="preserve"> Educational Researcher, 13(6), 4–16.</w:t>
      </w:r>
    </w:p>
    <w:p w14:paraId="36DBF893" w14:textId="77777777" w:rsidR="00565930" w:rsidRDefault="00000000">
      <w:pPr>
        <w:pStyle w:val="Corpotesto"/>
      </w:pPr>
      <w:r>
        <w:t xml:space="preserve">Bull, S., &amp; Kay, J. (2010). </w:t>
      </w:r>
      <w:r>
        <w:rPr>
          <w:i/>
        </w:rPr>
        <w:t>Open Learner Models.</w:t>
      </w:r>
      <w:r>
        <w:t xml:space="preserve"> In </w:t>
      </w:r>
      <w:r>
        <w:rPr>
          <w:i/>
        </w:rPr>
        <w:t>Advances in Intelligent Tutoring Systems</w:t>
      </w:r>
      <w:r>
        <w:t>, Springer.</w:t>
      </w:r>
    </w:p>
    <w:p w14:paraId="2FDC0010" w14:textId="77777777" w:rsidR="00565930" w:rsidRDefault="00000000">
      <w:pPr>
        <w:pStyle w:val="Corpotesto"/>
      </w:pPr>
      <w:r>
        <w:t xml:space="preserve">Chen, P., Lu, Y., Zheng, V. W., Chen, X., &amp; Yang, B. (2018). </w:t>
      </w:r>
      <w:r>
        <w:rPr>
          <w:i/>
        </w:rPr>
        <w:t>KnowEdu: A System to Construct Knowledge Graph for Education.</w:t>
      </w:r>
      <w:r>
        <w:t xml:space="preserve"> IEEE Access.</w:t>
      </w:r>
    </w:p>
    <w:p w14:paraId="25FB256E" w14:textId="77777777" w:rsidR="00565930" w:rsidRDefault="00000000">
      <w:pPr>
        <w:pStyle w:val="Corpotesto"/>
      </w:pPr>
      <w:r>
        <w:t xml:space="preserve">Corbett, A. T., &amp; Anderson, J. R. (1995). </w:t>
      </w:r>
      <w:r>
        <w:rPr>
          <w:i/>
        </w:rPr>
        <w:t>Knowledge Tracing: Modeling the Acquisition of Procedural Knowledge.</w:t>
      </w:r>
      <w:r>
        <w:t xml:space="preserve"> User Modeling and User‑Adapted Interaction, 4, 253–278.</w:t>
      </w:r>
    </w:p>
    <w:p w14:paraId="2ED7A89B" w14:textId="77777777" w:rsidR="00565930" w:rsidRDefault="00000000">
      <w:pPr>
        <w:pStyle w:val="Corpotesto"/>
      </w:pPr>
      <w:r>
        <w:t xml:space="preserve">Ebbinghaus, H. (1885). </w:t>
      </w:r>
      <w:r>
        <w:rPr>
          <w:i/>
        </w:rPr>
        <w:t>Über das Gedächtnis (Memory: A Contribution to Experimental Psychology).</w:t>
      </w:r>
    </w:p>
    <w:p w14:paraId="226C0C44" w14:textId="77777777" w:rsidR="00565930" w:rsidRDefault="00000000">
      <w:pPr>
        <w:pStyle w:val="Corpotesto"/>
      </w:pPr>
      <w:r>
        <w:t xml:space="preserve">Edge, D., Trinh, H., Cheng, N., Bradley, J., Chao, A., Mody, A., Truitt, S., Metropolitansky, D., Ness, R. O., &amp; Larson, J. (2024). </w:t>
      </w:r>
      <w:r>
        <w:rPr>
          <w:i/>
        </w:rPr>
        <w:t>From Local to Global: A Graph RAG Approach to Query‑Focused Summarization.</w:t>
      </w:r>
      <w:r>
        <w:t xml:space="preserve"> arXiv:2404.16130.</w:t>
      </w:r>
    </w:p>
    <w:p w14:paraId="261F4AE5" w14:textId="77777777" w:rsidR="00565930" w:rsidRDefault="00000000">
      <w:pPr>
        <w:pStyle w:val="Corpotesto"/>
      </w:pPr>
      <w:r>
        <w:rPr>
          <w:i/>
        </w:rPr>
        <w:t>JEDM</w:t>
      </w:r>
      <w:r>
        <w:t xml:space="preserve"> (2024). </w:t>
      </w:r>
      <w:r>
        <w:rPr>
          <w:i/>
        </w:rPr>
        <w:t>ACE: AI‑Assisted Construction of Educational Knowledge Graphs with Prerequisite Relations.</w:t>
      </w:r>
      <w:r>
        <w:t xml:space="preserve"> Journal of Educational Data Mining.</w:t>
      </w:r>
    </w:p>
    <w:p w14:paraId="198903E4" w14:textId="77777777" w:rsidR="00565930" w:rsidRDefault="00000000">
      <w:pPr>
        <w:pStyle w:val="Corpotesto"/>
      </w:pPr>
      <w:r>
        <w:lastRenderedPageBreak/>
        <w:t xml:space="preserve">Lord, F. M. (1980). </w:t>
      </w:r>
      <w:r>
        <w:rPr>
          <w:i/>
        </w:rPr>
        <w:t>Applications of Item Response Theory to Practical Testing Problems.</w:t>
      </w:r>
    </w:p>
    <w:p w14:paraId="38670D5B" w14:textId="77777777" w:rsidR="00565930" w:rsidRDefault="00000000">
      <w:pPr>
        <w:pStyle w:val="Corpotesto"/>
      </w:pPr>
      <w:r>
        <w:t xml:space="preserve">Pelánek, R. (2017). </w:t>
      </w:r>
      <w:r>
        <w:rPr>
          <w:i/>
        </w:rPr>
        <w:t>Bayesian Knowledge Tracing, Logistic Models, and Beyond: An Overview of Learner Modeling Techniques.</w:t>
      </w:r>
      <w:r>
        <w:t xml:space="preserve"> User Modeling and User‑Adapted Interaction, 27, 313–350.</w:t>
      </w:r>
    </w:p>
    <w:p w14:paraId="6478397E" w14:textId="77777777" w:rsidR="00565930" w:rsidRDefault="00000000">
      <w:pPr>
        <w:pStyle w:val="Corpotesto"/>
      </w:pPr>
      <w:r>
        <w:t xml:space="preserve">Piech, C., Bassen, J., Huang, J., Ganguli, S., Sahami, M., Guibas, L., &amp; Sohl‑Dickstein, J. (2015). </w:t>
      </w:r>
      <w:r>
        <w:rPr>
          <w:i/>
        </w:rPr>
        <w:t>Deep Knowledge Tracing.</w:t>
      </w:r>
      <w:r>
        <w:t xml:space="preserve"> NeurIPS 2015.</w:t>
      </w:r>
    </w:p>
    <w:p w14:paraId="73428404" w14:textId="77777777" w:rsidR="00565930" w:rsidRDefault="00000000">
      <w:pPr>
        <w:pStyle w:val="Corpotesto"/>
      </w:pPr>
      <w:r>
        <w:t xml:space="preserve">Roediger, H. L., &amp; Karpicke, J. D. (2006). </w:t>
      </w:r>
      <w:r>
        <w:rPr>
          <w:i/>
        </w:rPr>
        <w:t>Test‑Enhanced Learning: Taking Memory Tests Improves Long‑Term Retention.</w:t>
      </w:r>
      <w:r>
        <w:t xml:space="preserve"> Psychological Science, 17, 249–255.</w:t>
      </w:r>
    </w:p>
    <w:p w14:paraId="59CF8736" w14:textId="77777777" w:rsidR="00565930" w:rsidRDefault="00000000">
      <w:pPr>
        <w:pStyle w:val="Corpotesto"/>
      </w:pPr>
      <w:r>
        <w:t xml:space="preserve">Settles, B., &amp; Meeder, B. (2016). </w:t>
      </w:r>
      <w:r>
        <w:rPr>
          <w:i/>
        </w:rPr>
        <w:t>A Trainable Spaced Repetition Model for Language Learning.</w:t>
      </w:r>
      <w:r>
        <w:t xml:space="preserve"> ACL 2016, 1848–1858.</w:t>
      </w:r>
    </w:p>
    <w:p w14:paraId="098302E7" w14:textId="77777777" w:rsidR="00565930" w:rsidRDefault="00000000">
      <w:pPr>
        <w:pStyle w:val="Corpotesto"/>
      </w:pPr>
      <w:r>
        <w:t xml:space="preserve">van der Linden, W. J., &amp; Hambleton, R. K. (1997). </w:t>
      </w:r>
      <w:r>
        <w:rPr>
          <w:i/>
        </w:rPr>
        <w:t>Handbook of Modern Item Response Theory.</w:t>
      </w:r>
    </w:p>
    <w:p w14:paraId="02131B0F" w14:textId="77777777" w:rsidR="00565930" w:rsidRDefault="00000000">
      <w:pPr>
        <w:pStyle w:val="Corpotesto"/>
      </w:pPr>
      <w:r>
        <w:t xml:space="preserve">VanLehn, K. (2011). </w:t>
      </w:r>
      <w:r>
        <w:rPr>
          <w:i/>
        </w:rPr>
        <w:t>The Relative Effectiveness of Human Tutoring, Intelligent Tutoring Systems, and Other Tutoring Systems.</w:t>
      </w:r>
      <w:r>
        <w:t xml:space="preserve"> Educational Psychologist, 46(4), 197–221.</w:t>
      </w:r>
    </w:p>
    <w:p w14:paraId="3201B856" w14:textId="77777777" w:rsidR="00565930" w:rsidRDefault="00000000">
      <w:pPr>
        <w:pStyle w:val="Corpotesto"/>
      </w:pPr>
      <w:r>
        <w:t xml:space="preserve">Vygotsky, L. S. (1978). </w:t>
      </w:r>
      <w:r>
        <w:rPr>
          <w:i/>
        </w:rPr>
        <w:t>Mind in Society: The Development of Higher Psychological Processes.</w:t>
      </w:r>
      <w:r>
        <w:t xml:space="preserve"> Harvard University Press.</w:t>
      </w:r>
    </w:p>
    <w:p w14:paraId="07098354" w14:textId="77777777" w:rsidR="00565930" w:rsidRDefault="004F3E3D">
      <w:r>
        <w:rPr>
          <w:noProof/>
        </w:rPr>
      </w:r>
      <w:r>
        <w:pict w14:anchorId="19DE26AA">
          <v:rect id="Horizontal Line 1" o:spid="_x0000_s1026" style="width:498.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DT64da3QAAAAgBAAAPAAAAAAAAAAAAAAAAALMEAABkcnMvZG93bnJldi54&#13;&#10;bWxQSwUGAAAAAAQABADzAAAAvQUAAAAA&#13;&#10;" filled="f">
            <o:lock v:ext="edit" rotation="t" aspectratio="t" verticies="t" text="t" shapetype="t"/>
            <w10:anchorlock/>
          </v:rect>
        </w:pict>
      </w:r>
    </w:p>
    <w:p w14:paraId="12FFEDF5" w14:textId="77777777" w:rsidR="00565930" w:rsidRDefault="00000000">
      <w:pPr>
        <w:pStyle w:val="FirstParagraph"/>
      </w:pPr>
      <w:r>
        <w:rPr>
          <w:i/>
        </w:rPr>
        <w:t>Formulae are illustrative and calibrated on DLU data;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i/>
        </w:rPr>
        <w:t xml:space="preserve">, </w:t>
      </w:r>
      <m:oMath>
        <m:r>
          <w:rPr>
            <w:rFonts w:ascii="Cambria Math" w:hAnsi="Cambria Math"/>
          </w:rPr>
          <m:t>π</m:t>
        </m:r>
      </m:oMath>
      <w:r>
        <w:rPr>
          <w:i/>
        </w:rPr>
        <w:t xml:space="preserve">, </w:t>
      </w:r>
      <m:oMath>
        <m:r>
          <w:rPr>
            <w:rFonts w:ascii="Cambria Math" w:hAnsi="Cambria Math"/>
          </w:rPr>
          <m:t>γ</m:t>
        </m:r>
      </m:oMath>
      <w:r>
        <w:rPr>
          <w:i/>
        </w:rPr>
        <w:t>) and thresholds are versioned, governed parameters (rule packs), not hard‑coded constants.</w:t>
      </w:r>
    </w:p>
    <w:sectPr w:rsidR="00565930">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06BEE7" w14:textId="77777777" w:rsidR="004F3E3D" w:rsidRDefault="004F3E3D">
      <w:pPr>
        <w:spacing w:after="0"/>
      </w:pPr>
      <w:r>
        <w:separator/>
      </w:r>
    </w:p>
  </w:endnote>
  <w:endnote w:type="continuationSeparator" w:id="0">
    <w:p w14:paraId="3946CEC2" w14:textId="77777777" w:rsidR="004F3E3D" w:rsidRDefault="004F3E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18A68D" w14:textId="77777777" w:rsidR="004F3E3D" w:rsidRDefault="004F3E3D">
      <w:r>
        <w:separator/>
      </w:r>
    </w:p>
  </w:footnote>
  <w:footnote w:type="continuationSeparator" w:id="0">
    <w:p w14:paraId="73379B6E" w14:textId="77777777" w:rsidR="004F3E3D" w:rsidRDefault="004F3E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79D8CA1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11D1291"/>
    <w:multiLevelType w:val="hybridMultilevel"/>
    <w:tmpl w:val="FFCE4F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C1AE401"/>
    <w:multiLevelType w:val="multilevel"/>
    <w:tmpl w:val="A64C5D8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88675653">
    <w:abstractNumId w:val="2"/>
  </w:num>
  <w:num w:numId="2" w16cid:durableId="2456951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990929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83404"/>
    <w:rsid w:val="004E29B3"/>
    <w:rsid w:val="004F3E3D"/>
    <w:rsid w:val="00565930"/>
    <w:rsid w:val="00585521"/>
    <w:rsid w:val="00590D07"/>
    <w:rsid w:val="00635EEA"/>
    <w:rsid w:val="007350A0"/>
    <w:rsid w:val="00784D58"/>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A76461"/>
  <w15:docId w15:val="{0C26245C-0D22-714A-97A6-93080E97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
    <w:name w:val="Abstract"/>
    <w:basedOn w:val="Normale"/>
    <w:next w:val="Corpotesto"/>
    <w:qFormat/>
    <w:pPr>
      <w:keepNext/>
      <w:keepLines/>
      <w:spacing w:before="3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4F81BD"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8</Pages>
  <Words>2554</Words>
  <Characters>14558</Characters>
  <Application>Microsoft Office Word</Application>
  <DocSecurity>0</DocSecurity>
  <Lines>121</Lines>
  <Paragraphs>34</Paragraphs>
  <ScaleCrop>false</ScaleCrop>
  <HeadingPairs>
    <vt:vector size="2" baseType="variant">
      <vt:variant>
        <vt:lpstr>Titolo</vt:lpstr>
      </vt:variant>
      <vt:variant>
        <vt:i4>1</vt:i4>
      </vt:variant>
    </vt:vector>
  </HeadingPairs>
  <TitlesOfParts>
    <vt:vector size="1" baseType="lpstr">
      <vt:lpstr>The Educational Knowledge Graph as the Cognitive Core of the AI‑Native University</vt:lpstr>
    </vt:vector>
  </TitlesOfParts>
  <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Educational Knowledge Graph as the Cognitive Core of the AI‑Native University</dc:title>
  <dc:creator>Prof. Fabio Mungo — St. Thomas University · Global American Learning</dc:creator>
  <cp:keywords/>
  <cp:lastModifiedBy>Fabio Mungo</cp:lastModifiedBy>
  <cp:revision>3</cp:revision>
  <cp:lastPrinted>2026-08-08T18:12:00Z</cp:lastPrinted>
  <dcterms:created xsi:type="dcterms:W3CDTF">2026-08-08T18:12:00Z</dcterms:created>
  <dcterms:modified xsi:type="dcterms:W3CDTF">2026-08-08T20:11:00Z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Introducing artificial intelligence as a layer on top of existing LMS/SIS platforms yields faster administration of an unchanged model. DLU adopts a different hypothesis: to place at the centre not content but knowledge represented as a graph, formally modelled and probabilistically traced. The DLU Educational Knowledge Graph (EKG) is the semantic backbone that makes curriculum, learning outcomes, concepts, competencies, assessments, evidence, mastery and career trajectories machine‑understandable. This paper argues that the EKG is the cognitive core and didactic intelligence of the system, and that two modelling decisions — (i) representing prerequisites as a dependency graph (a DAG) and (ii) estimating learner knowledge as a probabilistic latent state with explicit uncertainty (mastery ≠ confidence) — are grounded in the knowledge‑tracing, learning‑analytics and learning‑science literature. We formalise the learner model, present a concrete case (the knowledge graph of a Machine Learning course), and show numerically how knowledge about a student is constructed and how the aggregate learning state then powers faculty use cases.</vt:lpwstr>
  </property>
  <property fmtid="{D5CDD505-2E9C-101B-9397-08002B2CF9AE}" pid="3" name="date">
    <vt:lpwstr>August 2026</vt:lpwstr>
  </property>
  <property fmtid="{D5CDD505-2E9C-101B-9397-08002B2CF9AE}" pid="4" name="subtitle">
    <vt:lpwstr>A scientific, architectural and pedagogical position paper on the DLU Educational Knowledge Graph (EKG)</vt:lpwstr>
  </property>
</Properties>
</file>