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b/>
          <w:color w:val="1F304E"/>
          <w:sz w:val="56"/>
        </w:rPr>
        <w:t>DLU Educational Knowledge Graph (EKG) 1.1</w:t>
      </w:r>
      <w:r>
        <w:rPr>
          <w:b/>
          <w:color w:val="3057A6"/>
          <w:sz w:val="48"/>
        </w:rPr>
        <w:br/>
        <w:t>UI/UX &amp; Experience Design Reference Guide</w:t>
      </w:r>
      <w:r>
        <w:rPr>
          <w:color w:val="414B5A"/>
          <w:sz w:val="28"/>
        </w:rPr>
        <w:br/>
        <w:br/>
        <w:t>Role-based knowledge visualization for Student, Faculty, Dean &amp; Provost</w:t>
      </w:r>
      <w:r>
        <w:rPr>
          <w:color w:val="5C6878"/>
          <w:sz w:val="22"/>
        </w:rPr>
        <w:br/>
        <w:br/>
        <w:t>Target design environment: Paper Design / paper.design workflow</w:t>
      </w:r>
      <w:r>
        <w:rPr>
          <w:color w:val="5C6878"/>
          <w:sz w:val="20"/>
        </w:rPr>
        <w:br/>
        <w:t>Version 1.0 · August 2026</w:t>
      </w:r>
    </w:p>
    <w:p>
      <w:r>
        <w:br w:type="page"/>
      </w:r>
    </w:p>
    <w:p>
      <w:pPr>
        <w:pStyle w:val="Heading1"/>
      </w:pPr>
      <w:r>
        <w:rPr>
          <w:b w:val="0"/>
          <w:i w:val="0"/>
        </w:rPr>
        <w:t>1. Purpose and Design Mandate</w:t>
      </w:r>
    </w:p>
    <w:p>
      <w:r>
        <w:rPr>
          <w:b w:val="0"/>
          <w:i w:val="0"/>
        </w:rPr>
        <w:t>This guide translates DLU EKG 1.1 from a semantic platform architecture into an experience architecture. It is written for UI Designers, Product/Experience Designers, Design Engineers and front-end architects who must expose graph-derived knowledge without forcing end users to understand graph databases, ontology terminology or dense node-link diagrams.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F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057A6"/>
              </w:rPr>
              <w:t xml:space="preserve">North-star rule — </w:t>
            </w:r>
            <w:r>
              <w:t>Never expose the entire Educational Knowledge Graph to an end user. Display the smallest graph projection capable of supporting the user’s current decision.</w:t>
            </w:r>
          </w:p>
        </w:tc>
      </w:tr>
    </w:tbl>
    <w:p/>
    <w:p>
      <w:r>
        <w:rPr>
          <w:b w:val="0"/>
          <w:i w:val="0"/>
        </w:rPr>
        <w:t>The EKG remains the semantic control plane. The interface presents task-oriented projections (“Lenses”) tailored to role, intent, scope and confidence. The same node can therefore appear as a progress item for a student, an outcome-risk signal for Faculty, a curriculum-coverage cell for a Dean and an institutional KPI for a Provost.</w:t>
      </w:r>
    </w:p>
    <w:p>
      <w:pPr>
        <w:pStyle w:val="Heading2"/>
      </w:pPr>
      <w:r>
        <w:rPr>
          <w:b w:val="0"/>
          <w:i w:val="0"/>
        </w:rPr>
        <w:t>1.1 Design outcomes</w:t>
      </w:r>
    </w:p>
    <w:p>
      <w:pPr>
        <w:pStyle w:val="ListBullet"/>
      </w:pPr>
      <w:r>
        <w:t>Reduce cognitive load while retaining semantic traceability.</w:t>
      </w:r>
    </w:p>
    <w:p>
      <w:pPr>
        <w:pStyle w:val="ListBullet"/>
      </w:pPr>
      <w:r>
        <w:t>Make every metric explainable through progressive drill-down to source outcomes/evidence.</w:t>
      </w:r>
    </w:p>
    <w:p>
      <w:pPr>
        <w:pStyle w:val="ListBullet"/>
      </w:pPr>
      <w:r>
        <w:t>Preserve mastery and confidence as distinct visual concepts.</w:t>
      </w:r>
    </w:p>
    <w:p>
      <w:pPr>
        <w:pStyle w:val="ListBullet"/>
      </w:pPr>
      <w:r>
        <w:t>Use graph visualization only when topology itself answers the user’s question.</w:t>
      </w:r>
    </w:p>
    <w:p>
      <w:pPr>
        <w:pStyle w:val="ListBullet"/>
      </w:pPr>
      <w:r>
        <w:t>Provide consistent cross-role navigation from signal → cause → evidence → action.</w:t>
      </w:r>
    </w:p>
    <w:p>
      <w:pPr>
        <w:pStyle w:val="ListBullet"/>
      </w:pPr>
      <w:r>
        <w:t>Ensure authorization/ACL boundaries are reflected in every projection and drill-down.</w:t>
      </w:r>
    </w:p>
    <w:p>
      <w:pPr>
        <w:pStyle w:val="Heading2"/>
      </w:pPr>
      <w:r>
        <w:rPr>
          <w:b w:val="0"/>
          <w:i w:val="0"/>
        </w:rPr>
        <w:t>1.2 Relationship to EKG 1.1</w:t>
      </w:r>
    </w:p>
    <w:p>
      <w:r>
        <w:rPr>
          <w:b w:val="0"/>
          <w:i w:val="0"/>
        </w:rPr>
        <w:t>This guide assumes the EKG 1.1 production architecture: UI clients never query Neo4j directly; projection/view-model services sit between the graph and the experience layer. GraphRAG, Mastery Engine, Learning Path, Assessment, Credit Recognition and curriculum analytics all contribute role-specific read models.</w:t>
      </w:r>
    </w:p>
    <w:p>
      <w:pPr>
        <w:pStyle w:val="Heading1"/>
      </w:pPr>
      <w:r>
        <w:rPr>
          <w:b w:val="0"/>
          <w:i w:val="0"/>
        </w:rPr>
        <w:t>2. Experience Architecture: Graph Underneath, Lenses Above</w:t>
      </w:r>
    </w:p>
    <w:p>
      <w:r>
        <w:rPr>
          <w:b w:val="0"/>
          <w:i w:val="0"/>
        </w:rPr>
        <w:t>The experience layer SHALL introduce an explicit EKG Lens abstraction. A Lens is not merely a dashboard configuration: it is a governed projection contract defining visible entities, metrics, allowed graph depth, ranking logic, actions and explainability level for a specific role and intent.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Dimension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Definition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Example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Who is making the decision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Student, Faculty, Dean, Provost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Intent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What question is being answered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What next? Why are students failing? Is the program aligned?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Scope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Where the query is bounded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Learner, cohort, course, program, school, institution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Projection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Subset and aggregation of EKG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CLO/MLO health; prerequisite chain; skill gap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Depth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Maximum semantic drill-down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L0 signal → L3 local graph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Actions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Permitted next operations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Open lesson, intervene, redesign curriculum, request review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ACL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Visibility constraints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Own evidence vs cohort aggregate vs institutional metrics</w:t>
            </w:r>
          </w:p>
        </w:tc>
      </w:tr>
    </w:tbl>
    <w:p>
      <w:pPr>
        <w:pStyle w:val="Heading2"/>
      </w:pPr>
      <w:r>
        <w:rPr>
          <w:b w:val="0"/>
          <w:i w:val="0"/>
        </w:rPr>
        <w:t>2.1 Canonical interaction model</w:t>
      </w:r>
    </w:p>
    <w:p>
      <w:pPr>
        <w:pStyle w:val="ListNumber"/>
      </w:pPr>
      <w:r>
        <w:t>Start with a decision signal, not a graph.</w:t>
      </w:r>
    </w:p>
    <w:p>
      <w:pPr>
        <w:pStyle w:val="ListNumber"/>
      </w:pPr>
      <w:r>
        <w:t>Offer a plain-language explanation of the signal.</w:t>
      </w:r>
    </w:p>
    <w:p>
      <w:pPr>
        <w:pStyle w:val="ListNumber"/>
      </w:pPr>
      <w:r>
        <w:t>Allow drill-down into contributing outcomes, concepts or evidence.</w:t>
      </w:r>
    </w:p>
    <w:p>
      <w:pPr>
        <w:pStyle w:val="ListNumber"/>
      </w:pPr>
      <w:r>
        <w:t>Reveal a local graph only when relationship topology is useful.</w:t>
      </w:r>
    </w:p>
    <w:p>
      <w:pPr>
        <w:pStyle w:val="ListNumber"/>
      </w:pPr>
      <w:r>
        <w:t>Finish with a recommended or available 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essive_disclos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1 — Four levels of progressive disclosure recommended across all EKG experiences.</w:t>
      </w:r>
    </w:p>
    <w:p>
      <w:pPr>
        <w:pStyle w:val="Heading1"/>
      </w:pPr>
      <w:r>
        <w:rPr>
          <w:b w:val="0"/>
          <w:i w:val="0"/>
        </w:rPr>
        <w:t>3. Role × Intent × View Pattern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intent</w:t>
            </w:r>
          </w:p>
        </w:tc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Default view</w:t>
            </w:r>
          </w:p>
        </w:tc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Secondary view</w:t>
            </w:r>
          </w:p>
        </w:tc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Graph exposure</w:t>
            </w:r>
          </w:p>
        </w:tc>
        <w:tc>
          <w:tcPr>
            <w:tcW w:type="dxa" w:w="1704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action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What do I know? What should I do next?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Progress + Next Best Action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Learning path / skill gap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 dependency path only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Learn / practice / reassess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 am I blocked?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Prerequisite explanation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detail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1–2 hop local graph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Remediate prerequisite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Faculty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Which outcomes are weak?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Outcome health table/heatmap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Cohort distribution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 root-cause graph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Intervene / adjust teaching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Faculty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Is assessment valid?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↔ assessment coverage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Rubric/evidence view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Rare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Revise assessment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Dean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Does the curriculum cover program outcomes?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Course × outcome matrix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 health dashboard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Dependency diagnostics only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Redesign curriculum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Dean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Where are duplication/gaps?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 matrix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Concept/skill overlap list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Local course-concept graph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Consolidate / add content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Provost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Which programs need attention?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Academic control tower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School/program drill-down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None by default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Prioritize review</w:t>
            </w:r>
          </w:p>
        </w:tc>
      </w:tr>
      <w:tr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Provost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Can we evidence attainment/accreditation?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Institutional outcome/evidence coverage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Traceability chain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Trace path, not network</w:t>
            </w:r>
          </w:p>
        </w:tc>
        <w:tc>
          <w:tcPr>
            <w:tcW w:type="dxa" w:w="170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Request assurance/remediation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F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057A6"/>
              </w:rPr>
              <w:t xml:space="preserve">Decision rule — </w:t>
            </w:r>
            <w:r>
              <w:t>If a user can answer the current question with a table, matrix, path or ordered list, do not use a node-link graph.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4. EKG Visualization Grammar</w:t>
      </w:r>
    </w:p>
    <w:p>
      <w:r>
        <w:rPr>
          <w:b w:val="0"/>
          <w:i w:val="0"/>
        </w:rPr>
        <w:t>The design system should treat knowledge visualization as a small set of reusable primitives. Designers should select the primitive by question type, not by data source.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Question type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Preferred pattern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Avoid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Status / attention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Metric card, status row, ordered list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Graph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 / alignment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Heatmap or matrix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Hundreds of edges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Progress over time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Timeline / trend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Static graph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Prerequisite sequence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Path / dependency ladder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Heatmap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Root cause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Expandable hierarchy + local graph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Global graph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provenance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list / trace chain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Force-directed layout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Portfolio comparison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Ranked table / small multiples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Course node cloud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Semantic neighborhood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Local graph ≤ 12–20 nodes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Unbounded traversal</w:t>
            </w:r>
          </w:p>
        </w:tc>
      </w:tr>
    </w:tbl>
    <w:p>
      <w:pPr>
        <w:pStyle w:val="Heading2"/>
      </w:pPr>
      <w:r>
        <w:rPr>
          <w:b w:val="0"/>
          <w:i w:val="0"/>
        </w:rPr>
        <w:t>4.1 Core visual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Semantic object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Default visual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Required metadata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Outcome (CLO/MLO)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Outcome row/card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attainment, confidence, assessment coverage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Concept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Knowledge chip / local node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mastery/readiness + prerequisite state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Skill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Skill row / readiness bar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target level, current level, external mapping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Assessment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Evidence/assessment 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coverage, score, rubric, date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Provenance row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source, evaluator, freshness, authenticity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Gap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Priority 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delta, confidence, impact, recommended remediation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Learning activity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Action 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effort, unlocks, due/availability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Job role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Target 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readiness, required skills, gap count</w:t>
            </w:r>
          </w:p>
        </w:tc>
      </w:tr>
    </w:tbl>
    <w:p>
      <w:pPr>
        <w:pStyle w:val="Heading2"/>
      </w:pPr>
      <w:r>
        <w:rPr>
          <w:b w:val="0"/>
          <w:i w:val="0"/>
        </w:rPr>
        <w:t>4.2 Mastery vs Confidence</w:t>
      </w:r>
    </w:p>
    <w:p>
      <w:r>
        <w:rPr>
          <w:b w:val="0"/>
          <w:i w:val="0"/>
        </w:rPr>
        <w:t>Mastery and confidence MUST NOT be collapsed into one percentage. Mastery expresses estimated proficiency; confidence expresses how strongly the available evidence supports that estimate. A high-mastery/low-confidence state is materially different from high-mastery/high-confidence.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Mastery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Confidence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UI meaning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Recommended treatment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Stable strength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Positive status; no warning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Promising but under-evidenced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Show “needs more evidence”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Confirmed gap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Prioritize remediation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Low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Uncertain gap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Request diagnostic evidence before strong recommendation</w:t>
            </w:r>
          </w:p>
        </w:tc>
      </w:tr>
    </w:tbl>
    <w:p>
      <w:pPr>
        <w:pStyle w:val="Heading1"/>
      </w:pPr>
      <w:r>
        <w:rPr>
          <w:b w:val="0"/>
          <w:i w:val="0"/>
        </w:rPr>
        <w:t>5. Student Lens</w:t>
      </w:r>
    </w:p>
    <w:p>
      <w:r>
        <w:rPr>
          <w:b w:val="0"/>
          <w:i w:val="0"/>
        </w:rPr>
        <w:t>Student experiences should optimize for orientation and action. Translate ontology terms into learner language; technical identifiers such as CLO-03/MLO-4.2 may be available in details but should not dominate the default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le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2 — Recommended Student Lens: progress, knowledge path, next-best action and career readiness.</w:t>
      </w:r>
    </w:p>
    <w:p>
      <w:pPr>
        <w:pStyle w:val="Heading2"/>
      </w:pPr>
      <w:r>
        <w:rPr>
          <w:b w:val="0"/>
          <w:i w:val="0"/>
        </w:rPr>
        <w:t>5.1 Default Student Workspace hierarchy</w:t>
      </w:r>
    </w:p>
    <w:p>
      <w:pPr>
        <w:pStyle w:val="ListNumber"/>
      </w:pPr>
      <w:r>
        <w:t>Today / Next Best Action: one primary recommendation, maximum three alternatives.</w:t>
      </w:r>
    </w:p>
    <w:p>
      <w:pPr>
        <w:pStyle w:val="ListNumber"/>
      </w:pPr>
      <w:r>
        <w:t>My Progress: course/program progress and outcome readiness.</w:t>
      </w:r>
    </w:p>
    <w:p>
      <w:pPr>
        <w:pStyle w:val="ListNumber"/>
      </w:pPr>
      <w:r>
        <w:t>My Knowledge: mastered, developing and blocked concepts.</w:t>
      </w:r>
    </w:p>
    <w:p>
      <w:pPr>
        <w:pStyle w:val="ListNumber"/>
      </w:pPr>
      <w:r>
        <w:t>Evidence: what demonstrates mastery and where evidence is insufficient.</w:t>
      </w:r>
    </w:p>
    <w:p>
      <w:pPr>
        <w:pStyle w:val="ListNumber"/>
      </w:pPr>
      <w:r>
        <w:t>Targets: course completion, degree outcomes and optional career role readiness.</w:t>
      </w:r>
    </w:p>
    <w:p>
      <w:pPr>
        <w:pStyle w:val="Heading2"/>
      </w:pPr>
      <w:r>
        <w:rPr>
          <w:b w:val="0"/>
          <w:i w:val="0"/>
        </w:rPr>
        <w:t>5.2 Student interaction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Pattern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Interaction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 Best 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Prioritize one activity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Open → see “why this” → start activity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Knowledge Path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Show ordered dependencies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Select concept → prerequisites + unlocks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Gap 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Show actionable deficiency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Explain gap → recommended remediation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Drawer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Build trust in mastery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Expand score into evidence provenance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Career Readiness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Optional motivational layer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Role → required skills → learning opportunities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F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057A6"/>
              </w:rPr>
              <w:t xml:space="preserve">Student language — </w:t>
            </w:r>
            <w:r>
              <w:t>Prefer “What you can do”, “What to strengthen”, “What this unlocks” over ontology labels such as “node”, “edge”, “MLO association” or “semantic relation”.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6. Faculty Lens</w:t>
      </w:r>
    </w:p>
    <w:p>
      <w:r>
        <w:rPr>
          <w:b w:val="0"/>
          <w:i w:val="0"/>
        </w:rPr>
        <w:t>Faculty experiences should optimize for cohort diagnosis, outcome attainment and instructional intervention. The main object is the outcome, not the student list. Student-level detail is a drill-down constrained by faculty authorization.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ulty_le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3 — Faculty Lens: outcome health first, drill-down into root cause second.</w:t>
      </w:r>
    </w:p>
    <w:p>
      <w:pPr>
        <w:pStyle w:val="Heading2"/>
      </w:pPr>
      <w:r>
        <w:rPr>
          <w:b w:val="0"/>
          <w:i w:val="0"/>
        </w:rPr>
        <w:t>6.1 Faculty view hierarchy</w:t>
      </w:r>
    </w:p>
    <w:p>
      <w:pPr>
        <w:pStyle w:val="ListNumber"/>
      </w:pPr>
      <w:r>
        <w:t>Course health summary.</w:t>
      </w:r>
    </w:p>
    <w:p>
      <w:pPr>
        <w:pStyle w:val="ListNumber"/>
      </w:pPr>
      <w:r>
        <w:t>Outcome health table/heatmap.</w:t>
      </w:r>
    </w:p>
    <w:p>
      <w:pPr>
        <w:pStyle w:val="ListNumber"/>
      </w:pPr>
      <w:r>
        <w:t>At-risk cohorts or clusters, not individual names by default.</w:t>
      </w:r>
    </w:p>
    <w:p>
      <w:pPr>
        <w:pStyle w:val="ListNumber"/>
      </w:pPr>
      <w:r>
        <w:t>Root-cause analysis: weak MLOs → concepts → prerequisites.</w:t>
      </w:r>
    </w:p>
    <w:p>
      <w:pPr>
        <w:pStyle w:val="ListNumber"/>
      </w:pPr>
      <w:r>
        <w:t>Assessment validity and coverage.</w:t>
      </w:r>
    </w:p>
    <w:p>
      <w:pPr>
        <w:pStyle w:val="ListNumber"/>
      </w:pPr>
      <w:r>
        <w:t>Intervention candidates and expected impact.</w:t>
      </w:r>
    </w:p>
    <w:p>
      <w:pPr>
        <w:pStyle w:val="Heading2"/>
      </w:pPr>
      <w:r>
        <w:rPr>
          <w:b w:val="0"/>
          <w:i w:val="0"/>
        </w:rPr>
        <w:t>6.2 Root-cause drill-down</w:t>
      </w:r>
    </w:p>
    <w:p>
      <w:r>
        <w:rPr>
          <w:b w:val="0"/>
          <w:i w:val="0"/>
        </w:rPr>
        <w:t>A Faculty user selecting a weak CLO should not land in a generic graph explorer. The system should construct a ranked explanation: contributing MLOs, affected learner percentage, prerequisite weaknesses, assessment coverage and evidence confidence. The local graph is an optional fourth-level visualization.</w:t>
      </w:r>
    </w:p>
    <w:p>
      <w:pPr>
        <w:pStyle w:val="Heading1"/>
      </w:pPr>
      <w:r>
        <w:rPr>
          <w:b w:val="0"/>
          <w:i w:val="0"/>
        </w:rPr>
        <w:t>7. Dean / Program Director Lens</w:t>
      </w:r>
    </w:p>
    <w:p>
      <w:r>
        <w:rPr>
          <w:b w:val="0"/>
          <w:i w:val="0"/>
        </w:rPr>
        <w:t>Dean-level views answer curriculum questions across courses and cohorts. Matrices and exception queues are superior to node-link views because the user is comparing coverage, gaps, duplication, progression and quality assurance.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an_le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4 — Dean Lens: a coverage matrix compresses hundreds of EKG relations into an actionable program-level view.</w:t>
      </w:r>
    </w:p>
    <w:p>
      <w:pPr>
        <w:pStyle w:val="Heading2"/>
      </w:pPr>
      <w:r>
        <w:rPr>
          <w:b w:val="0"/>
          <w:i w:val="0"/>
        </w:rPr>
        <w:t>7.1 Required Dean views</w:t>
      </w:r>
    </w:p>
    <w:p>
      <w:pPr>
        <w:pStyle w:val="ListBullet"/>
      </w:pPr>
      <w:r>
        <w:t>Program Health Overview</w:t>
      </w:r>
    </w:p>
    <w:p>
      <w:pPr>
        <w:pStyle w:val="ListBullet"/>
      </w:pPr>
      <w:r>
        <w:t>Course × Program Outcome coverage matrix</w:t>
      </w:r>
    </w:p>
    <w:p>
      <w:pPr>
        <w:pStyle w:val="ListBullet"/>
      </w:pPr>
      <w:r>
        <w:t>Course × Skill coverage matrix</w:t>
      </w:r>
    </w:p>
    <w:p>
      <w:pPr>
        <w:pStyle w:val="ListBullet"/>
      </w:pPr>
      <w:r>
        <w:t>Outcome assessment/evidence coverage</w:t>
      </w:r>
    </w:p>
    <w:p>
      <w:pPr>
        <w:pStyle w:val="ListBullet"/>
      </w:pPr>
      <w:r>
        <w:t>Prerequisite integrity report</w:t>
      </w:r>
    </w:p>
    <w:p>
      <w:pPr>
        <w:pStyle w:val="ListBullet"/>
      </w:pPr>
      <w:r>
        <w:t>Curriculum duplication / orphan concept report</w:t>
      </w:r>
    </w:p>
    <w:p>
      <w:pPr>
        <w:pStyle w:val="ListBullet"/>
      </w:pPr>
      <w:r>
        <w:t>External-framework mapping quality (ESCO/CASE/SFIA/DigComp/EQF)</w:t>
      </w:r>
    </w:p>
    <w:p>
      <w:pPr>
        <w:pStyle w:val="ListBullet"/>
      </w:pPr>
      <w:r>
        <w:t>Accreditation traceability view</w:t>
      </w:r>
    </w:p>
    <w:p>
      <w:pPr>
        <w:pStyle w:val="Heading2"/>
      </w:pPr>
      <w:r>
        <w:rPr>
          <w:b w:val="0"/>
          <w:i w:val="0"/>
        </w:rPr>
        <w:t>7.2 Exception-first design</w:t>
      </w:r>
    </w:p>
    <w:p>
      <w:r>
        <w:rPr>
          <w:b w:val="0"/>
          <w:i w:val="0"/>
        </w:rPr>
        <w:t>Do not make the Dean inspect every cell. Surface exceptions first: unassessed outcomes, weakly supported mappings, concepts taught before prerequisites, duplicated learning outcomes, missing evidence, courses with sustained attainment below threshold.</w:t>
      </w:r>
    </w:p>
    <w:p>
      <w:pPr>
        <w:pStyle w:val="Heading1"/>
      </w:pPr>
      <w:r>
        <w:rPr>
          <w:b w:val="0"/>
          <w:i w:val="0"/>
        </w:rPr>
        <w:t>8. Provost / Executive Academic Lens</w:t>
      </w:r>
    </w:p>
    <w:p>
      <w:r>
        <w:rPr>
          <w:b w:val="0"/>
          <w:i w:val="0"/>
        </w:rPr>
        <w:t>Provost views are portfolio-management interfaces. They should suppress ontology complexity and expose institutional health, risk concentration, trend and traceability. The Provost normally should never see a force-directed graph.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ost_le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5 — Provost Lens: control tower, portfolio attention and governed drill-down.</w:t>
      </w:r>
    </w:p>
    <w:p>
      <w:pPr>
        <w:pStyle w:val="Heading2"/>
      </w:pPr>
      <w:r>
        <w:rPr>
          <w:b w:val="0"/>
          <w:i w:val="0"/>
        </w:rPr>
        <w:t>8.1 Executive information hierarchy</w:t>
      </w:r>
    </w:p>
    <w:p>
      <w:pPr>
        <w:pStyle w:val="ListNumber"/>
      </w:pPr>
      <w:r>
        <w:t>Institution KPIs and directional trends.</w:t>
      </w:r>
    </w:p>
    <w:p>
      <w:pPr>
        <w:pStyle w:val="ListNumber"/>
      </w:pPr>
      <w:r>
        <w:t>Schools/programs requiring attention.</w:t>
      </w:r>
    </w:p>
    <w:p>
      <w:pPr>
        <w:pStyle w:val="ListNumber"/>
      </w:pPr>
      <w:r>
        <w:t>Reason codes for risk (attainment, evidence, alignment, assessment, employability).</w:t>
      </w:r>
    </w:p>
    <w:p>
      <w:pPr>
        <w:pStyle w:val="ListNumber"/>
      </w:pPr>
      <w:r>
        <w:t>Program-level drill-down.</w:t>
      </w:r>
    </w:p>
    <w:p>
      <w:pPr>
        <w:pStyle w:val="ListNumber"/>
      </w:pPr>
      <w:r>
        <w:t>Outcome/evidence trace only when assurance or governance requires it.</w:t>
      </w:r>
    </w:p>
    <w:p>
      <w:pPr>
        <w:pStyle w:val="Heading1"/>
      </w:pPr>
      <w:r>
        <w:rPr>
          <w:b w:val="0"/>
          <w:i w:val="0"/>
        </w:rPr>
        <w:t>9. When a Graph Is Actually the Right Visualization</w:t>
      </w:r>
    </w:p>
    <w:p>
      <w:r>
        <w:rPr>
          <w:b w:val="0"/>
          <w:i w:val="0"/>
        </w:rPr>
        <w:t>Use a node-link representation only when the topology is itself the answer: prerequisite dependency, semantic neighborhood, causal/root-cause chain, traceability between outcome and evidence, or curriculum dependency diagnosis.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395020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950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878"/>
          <w:sz w:val="16"/>
        </w:rPr>
        <w:t>Figure 6 — Local Graph Pattern. The user sees the decision neighborhood, not the EKG universe.</w:t>
      </w:r>
    </w:p>
    <w:p>
      <w:pPr>
        <w:pStyle w:val="Heading2"/>
      </w:pPr>
      <w:r>
        <w:rPr>
          <w:b w:val="0"/>
          <w:i w:val="0"/>
        </w:rPr>
        <w:t>9.1 Local graph constraints</w:t>
      </w:r>
    </w:p>
    <w:p>
      <w:pPr>
        <w:pStyle w:val="ListBullet"/>
      </w:pPr>
      <w:r>
        <w:t>One explicit focus node.</w:t>
      </w:r>
    </w:p>
    <w:p>
      <w:pPr>
        <w:pStyle w:val="ListBullet"/>
      </w:pPr>
      <w:r>
        <w:t>Default depth: 1 hop; maximum normal drill-down: 2 hops.</w:t>
      </w:r>
    </w:p>
    <w:p>
      <w:pPr>
        <w:pStyle w:val="ListBullet"/>
      </w:pPr>
      <w:r>
        <w:t>Target 8–12 visible nodes; hard UX warning above 20.</w:t>
      </w:r>
    </w:p>
    <w:p>
      <w:pPr>
        <w:pStyle w:val="ListBullet"/>
      </w:pPr>
      <w:r>
        <w:t>Edge labels displayed only for relevant relation types.</w:t>
      </w:r>
    </w:p>
    <w:p>
      <w:pPr>
        <w:pStyle w:val="ListBullet"/>
      </w:pPr>
      <w:r>
        <w:t>Hide unrelated node classes by default.</w:t>
      </w:r>
    </w:p>
    <w:p>
      <w:pPr>
        <w:pStyle w:val="ListBullet"/>
      </w:pPr>
      <w:r>
        <w:t>Cluster repeated leaf nodes into counts (e.g., “+14 assessments”).</w:t>
      </w:r>
    </w:p>
    <w:p>
      <w:pPr>
        <w:pStyle w:val="ListBullet"/>
      </w:pPr>
      <w:r>
        <w:t>Provide “Why am I seeing this?” and “Back to summary”.</w:t>
      </w:r>
    </w:p>
    <w:p>
      <w:pPr>
        <w:pStyle w:val="ListBullet"/>
      </w:pPr>
      <w:r>
        <w:t>Never rely on color alone to encode node type or risk.</w:t>
      </w:r>
    </w:p>
    <w:p>
      <w:pPr>
        <w:pStyle w:val="Heading1"/>
      </w:pPr>
      <w:r>
        <w:rPr>
          <w:b w:val="0"/>
          <w:i w:val="0"/>
        </w:rPr>
        <w:t>10. Cross-role Information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Level</w:t>
            </w:r>
          </w:p>
        </w:tc>
        <w:tc>
          <w:tcPr>
            <w:tcW w:type="dxa" w:w="2045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2045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Faculty</w:t>
            </w:r>
          </w:p>
        </w:tc>
        <w:tc>
          <w:tcPr>
            <w:tcW w:type="dxa" w:w="2045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Dean</w:t>
            </w:r>
          </w:p>
        </w:tc>
        <w:tc>
          <w:tcPr>
            <w:tcW w:type="dxa" w:w="2045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Provost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L0: Signal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 action / readiness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Outcome alerts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 exceptions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Portfolio risks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L1: Explain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 recommended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 outcome weak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 curriculum gap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 program flagged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L2: Evidence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My evidence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Cohort evidence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Coverage/mapping evidence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Assurance trace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L3: Topology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Local prerequisite graph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Root-cause graph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Dependency graph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Usually not exposed</w:t>
            </w:r>
          </w:p>
        </w:tc>
      </w:tr>
      <w:tr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L4: Raw semantics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Not exposed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Rare/admin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Rare/admin</w:t>
            </w:r>
          </w:p>
        </w:tc>
        <w:tc>
          <w:tcPr>
            <w:tcW w:type="dxa" w:w="204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Not exposed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F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057A6"/>
              </w:rPr>
              <w:t xml:space="preserve">Navigation invariant — </w:t>
            </w:r>
            <w:r>
              <w:t>Any aggregate metric should be drillable to an explanation, and any explanation should be traceable to governed evidence without exposing data outside the viewer’s ACL.</w:t>
            </w:r>
          </w:p>
        </w:tc>
      </w:tr>
    </w:tbl>
    <w:p/>
    <w:p>
      <w:pPr>
        <w:pStyle w:val="Heading1"/>
      </w:pPr>
      <w:r>
        <w:rPr>
          <w:b w:val="0"/>
          <w:i w:val="0"/>
        </w:rPr>
        <w:t>11. Component Inventory for Paper Design</w:t>
      </w:r>
    </w:p>
    <w:p>
      <w:r>
        <w:rPr>
          <w:b w:val="0"/>
          <w:i w:val="0"/>
        </w:rPr>
        <w:t>Create the following as reusable design-system patterns in Paper. Component names below are semantic contracts; implementation may map them to the project’s actual Paper/token/component naming conventions.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Variants / states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EKGMetricCard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Single KPI/status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neutral, positive, warning, critical, stale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OutcomeHealthRow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comparison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healthy, watch, risk, critical, insufficient evidence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MasteryBar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Proficiency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with confidence marker and target marker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ConfidenceBadge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certainty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high, medium, low, unknown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NextBestActionCard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Recommended 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primary, alternate, blocked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KnowledgePath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Ordered dependency/progression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completed, current, locked, recommended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GapCard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Skill/concept gap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confirmed, uncertain, closed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CoverageMatrix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Course/outcome or course/skill alignment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 strength + exception overlay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EvidenceRow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Provenance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assessment, project, prior credit, external credential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ExplainabilityDrawer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Why/How computed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summary, factors, evidence, model/version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LocalGraph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Focused topology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prerequisite, root-cause, traceability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TraceabilityChain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Linear provenance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→ Assessment → Evidence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RiskQueue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Exception-first workflow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filter, owner, severity, status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RoleTargetCard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Career readiness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current/target/gap</w:t>
            </w:r>
          </w:p>
        </w:tc>
      </w:tr>
    </w:tbl>
    <w:p>
      <w:pPr>
        <w:pStyle w:val="Heading1"/>
      </w:pPr>
      <w:r>
        <w:rPr>
          <w:b w:val="0"/>
          <w:i w:val="0"/>
        </w:rPr>
        <w:t>12. State Design: Empty, Uncertain, Stale, Restricted</w:t>
      </w:r>
    </w:p>
    <w:p>
      <w:r>
        <w:rPr>
          <w:b w:val="0"/>
          <w:i w:val="0"/>
        </w:rPr>
        <w:t>EKG-derived data is probabilistic, temporal and authorization-sensitive. The UI must therefore design states beyond “loaded / error”.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State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Required copy/indicator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Forbidden behavior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No 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“Not enough evidence yet” + next diagnostic 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Render 0% mastery as if known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Low confidence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Confidence indicator + reason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Hide uncertainty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Stale 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Last updated + refresh/remediation 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Present as current without warning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Blocked prerequisite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Name prerequisite + unlock relation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Generic “locked” with no explanation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ACL restricted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Explain aggregate/detail boundary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Show redacted names as a tease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Mapping under review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Proposed mapping / confidence / owner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Present external mapping as authoritative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Model recalculating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Last stable state + processing indicator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Flash temporary zeroes</w:t>
            </w:r>
          </w:p>
        </w:tc>
      </w:tr>
    </w:tbl>
    <w:p>
      <w:pPr>
        <w:pStyle w:val="Heading1"/>
      </w:pPr>
      <w:r>
        <w:rPr>
          <w:b w:val="0"/>
          <w:i w:val="0"/>
        </w:rPr>
        <w:t>13. Visual Design Rules</w:t>
      </w:r>
    </w:p>
    <w:p>
      <w:pPr>
        <w:pStyle w:val="ListBullet"/>
      </w:pPr>
      <w:r>
        <w:t>Use a restrained semantic palette: accent for focus/selection; separate accessible semantics for healthy/watch/risk/critical.</w:t>
      </w:r>
    </w:p>
    <w:p>
      <w:pPr>
        <w:pStyle w:val="ListBullet"/>
      </w:pPr>
      <w:r>
        <w:t>Use typography and spacing to communicate hierarchy before color.</w:t>
      </w:r>
    </w:p>
    <w:p>
      <w:pPr>
        <w:pStyle w:val="ListBullet"/>
      </w:pPr>
      <w:r>
        <w:t>Prefer labels + values + status text; never encode meaning with a colored dot alone.</w:t>
      </w:r>
    </w:p>
    <w:p>
      <w:pPr>
        <w:pStyle w:val="ListBullet"/>
      </w:pPr>
      <w:r>
        <w:t>Display percentages only when the underlying metric is meaningful and sufficiently evidenced.</w:t>
      </w:r>
    </w:p>
    <w:p>
      <w:pPr>
        <w:pStyle w:val="ListBullet"/>
      </w:pPr>
      <w:r>
        <w:t>Prefer “insufficient evidence” to false numerical precision.</w:t>
      </w:r>
    </w:p>
    <w:p>
      <w:pPr>
        <w:pStyle w:val="ListBullet"/>
      </w:pPr>
      <w:r>
        <w:t>Keep identifiers (CLO-03, MLO-4.2, ESCO URI) secondary; expose them in details for faculty/governance.</w:t>
      </w:r>
    </w:p>
    <w:p>
      <w:pPr>
        <w:pStyle w:val="ListBullet"/>
      </w:pPr>
      <w:r>
        <w:t>Keep main-page density low: 3–5 KPI cards, one dominant analytical view, one exception/action area.</w:t>
      </w:r>
    </w:p>
    <w:p>
      <w:pPr>
        <w:pStyle w:val="Heading1"/>
      </w:pPr>
      <w:r>
        <w:rPr>
          <w:b w:val="0"/>
          <w:i w:val="0"/>
        </w:rPr>
        <w:t>14. Paper Design Workflow and Canvas Organization</w:t>
      </w:r>
    </w:p>
    <w:p>
      <w:r>
        <w:rPr>
          <w:b w:val="0"/>
          <w:i w:val="0"/>
        </w:rPr>
        <w:t>Paper’s current product documentation describes an HTML/CSS-based canvas, design tokens/themes and MCP connectivity between design files and agents/code. Use those capabilities to make the EKG experience library a design-to-code contract rather than a static mockup set.</w:t>
      </w:r>
    </w:p>
    <w:p>
      <w:pPr>
        <w:pStyle w:val="Heading2"/>
      </w:pPr>
      <w:r>
        <w:rPr>
          <w:b w:val="0"/>
          <w:i w:val="0"/>
        </w:rPr>
        <w:t>14.1 Recommended Paper file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Page/area</w:t>
            </w:r>
          </w:p>
        </w:tc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00 Foundations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tokens, typography, spacing, semantic statuses, accessibility notes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01 EKG Primitives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metric, mastery, confidence, outcome, evidence, gap, path, graph-node patterns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02 Student Lens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desktop + responsive Student Workspace flows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03 Faculty Lens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course health, outcome detail, intervention flow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04 Dean Lens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 health, coverage matrix, curriculum diagnostics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05 Provost Lens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control tower, portfolio drill-down, assurance trace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06 Cross-role Patterns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filters, breadcrumbs, drawers, explainability, permissions, states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07 Prototypes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task-based clickable journeys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08 Handoff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component mapping, API/view-model fields, acceptance annotations</w:t>
            </w:r>
          </w:p>
        </w:tc>
      </w:tr>
    </w:tbl>
    <w:p>
      <w:pPr>
        <w:pStyle w:val="Heading2"/>
      </w:pPr>
      <w:r>
        <w:rPr>
          <w:b w:val="0"/>
          <w:i w:val="0"/>
        </w:rPr>
        <w:t>14.2 Frame set for every critical view</w:t>
      </w:r>
    </w:p>
    <w:p>
      <w:pPr>
        <w:pStyle w:val="ListBullet"/>
      </w:pPr>
      <w:r>
        <w:t>Desktop reference: 1440 px logical frame.</w:t>
      </w:r>
    </w:p>
    <w:p>
      <w:pPr>
        <w:pStyle w:val="ListBullet"/>
      </w:pPr>
      <w:r>
        <w:t>Compact desktop/tablet: 1024 px.</w:t>
      </w:r>
    </w:p>
    <w:p>
      <w:pPr>
        <w:pStyle w:val="ListBullet"/>
      </w:pPr>
      <w:r>
        <w:t>Mobile/student-critical flows: 390 px.</w:t>
      </w:r>
    </w:p>
    <w:p>
      <w:pPr>
        <w:pStyle w:val="ListBullet"/>
      </w:pPr>
      <w:r>
        <w:t>Do not force Dean/Provost analytical matrices into mobile parity; provide summary + exception queue on small screens.</w:t>
      </w:r>
    </w:p>
    <w:p>
      <w:pPr>
        <w:pStyle w:val="Heading2"/>
      </w:pPr>
      <w:r>
        <w:rPr>
          <w:b w:val="0"/>
          <w:i w:val="0"/>
        </w:rPr>
        <w:t>14.3 Token strategy</w:t>
      </w:r>
    </w:p>
    <w:p>
      <w:r>
        <w:rPr>
          <w:b w:val="0"/>
          <w:i w:val="0"/>
        </w:rPr>
        <w:t>Define tokens for surface, text, muted text, border, focus/accent and semantic state. Keep graph-node styling driven by semantic tokens, not arbitrary per-node colors. Where design tokens are synchronized with code, token names should describe meaning (e.g., status-risk-bg) rather than a raw hue.</w:t>
      </w:r>
    </w:p>
    <w:p>
      <w:pPr>
        <w:pStyle w:val="Heading1"/>
      </w:pPr>
      <w:r>
        <w:rPr>
          <w:b w:val="0"/>
          <w:i w:val="0"/>
        </w:rPr>
        <w:t>15. Annotated Screen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Screen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Must show above fold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Primary interaction</w:t>
            </w:r>
          </w:p>
        </w:tc>
        <w:tc>
          <w:tcPr>
            <w:tcW w:type="dxa" w:w="2556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Drill-down target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Student Home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 Best Action, progress, 1–2 risk/gap signals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Start recommended activity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Concept → prerequisite/evidence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Student Knowledge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Knowledge path + filter by course/skill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Select concept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Concept detail/local graph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Faculty Course Health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Outcome attainment + at-risk count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Select weak outcome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MLO/concept/root cause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Faculty Assessment Coverage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× assessment mapping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Select uncovered outcome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Assessment redesign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Dean Program Health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 KPIs + exception queue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Select exception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Course/outcome/mapping detail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Dean Curriculum Map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 matrix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Select cell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Evidence + course contribution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Provost Control Tower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Portfolio KPIs + ranked risks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Select program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 executive summary</w:t>
            </w:r>
          </w:p>
        </w:tc>
      </w:tr>
      <w:tr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Assurance Trace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→ assessment → evidence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Open trace step</w:t>
            </w:r>
          </w:p>
        </w:tc>
        <w:tc>
          <w:tcPr>
            <w:tcW w:type="dxa" w:w="255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Source provenance</w:t>
            </w:r>
          </w:p>
        </w:tc>
      </w:tr>
    </w:tbl>
    <w:p>
      <w:pPr>
        <w:pStyle w:val="Heading1"/>
      </w:pPr>
      <w:r>
        <w:rPr>
          <w:b w:val="0"/>
          <w:i w:val="0"/>
        </w:rPr>
        <w:t>16. UI View-Model Contracts</w:t>
      </w:r>
    </w:p>
    <w:p>
      <w:r>
        <w:rPr>
          <w:b w:val="0"/>
          <w:i w:val="0"/>
        </w:rPr>
        <w:t>Design annotations should reference view-model fields, not Neo4j labels/queries. This preserves the EKG 1.1 rule that UI clients do not access the graph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View model</w:t>
            </w:r>
          </w:p>
        </w:tc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Representative fields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StudentKnowledgeSummary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overallProgress, nextActions[], conceptStates[], gaps[], targetReadiness[]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OutcomeHealthView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outcomeId, title, attainment, confidence, assessedCoverage, affectedLearners, status, reasonCodes[]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ProgramCoverageView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courses[], outcomes[], cells{coverage,strength,evidenceCount,flags}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ExecutiveProgramRisk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programId, healthScore, trend, riskReasons[], evidenceCoverage, alignmentScore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ExplainabilityView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metricId, humanSummary, contributingFactors[], evidenceRefs[], calculatedAt, modelVersion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LocalGraphView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focusNode, nodes[], edges[], depth, hiddenNodeCount, availableExpansions[]</w:t>
            </w:r>
          </w:p>
        </w:tc>
      </w:tr>
    </w:tbl>
    <w:p>
      <w:pPr>
        <w:pStyle w:val="Heading1"/>
      </w:pPr>
      <w:r>
        <w:rPr>
          <w:b w:val="0"/>
          <w:i w:val="0"/>
        </w:rPr>
        <w:t>17. Interaction and Motion Guidelines</w:t>
      </w:r>
    </w:p>
    <w:p>
      <w:pPr>
        <w:pStyle w:val="ListBullet"/>
      </w:pPr>
      <w:r>
        <w:t>Prefer in-place expansion and side drawers over navigation into a disconnected “graph page”.</w:t>
      </w:r>
    </w:p>
    <w:p>
      <w:pPr>
        <w:pStyle w:val="ListBullet"/>
      </w:pPr>
      <w:r>
        <w:t>Animate drill-down modestly to preserve spatial context; avoid physics-based force animations in end-user views.</w:t>
      </w:r>
    </w:p>
    <w:p>
      <w:pPr>
        <w:pStyle w:val="ListBullet"/>
      </w:pPr>
      <w:r>
        <w:t>Keep filters persistent within analytical workspaces.</w:t>
      </w:r>
    </w:p>
    <w:p>
      <w:pPr>
        <w:pStyle w:val="ListBullet"/>
      </w:pPr>
      <w:r>
        <w:t>Breadcrumbs must express semantic scope: Institution › School › Program › Course › Outcome.</w:t>
      </w:r>
    </w:p>
    <w:p>
      <w:pPr>
        <w:pStyle w:val="ListBullet"/>
      </w:pPr>
      <w:r>
        <w:t>When a recommendation changes because evidence changes, expose a short reason rather than silently reordering.</w:t>
      </w:r>
    </w:p>
    <w:p>
      <w:pPr>
        <w:pStyle w:val="ListBullet"/>
      </w:pPr>
      <w:r>
        <w:t>Allow users to copy/share a stable deep link to the current Lens + scope + filter state where policy permits.</w:t>
      </w:r>
    </w:p>
    <w:p>
      <w:pPr>
        <w:pStyle w:val="Heading1"/>
      </w:pPr>
      <w:r>
        <w:rPr>
          <w:b w:val="0"/>
          <w:i w:val="0"/>
        </w:rPr>
        <w:t>18. AI and Explainability Patterns</w:t>
      </w:r>
    </w:p>
    <w:p>
      <w:r>
        <w:rPr>
          <w:b w:val="0"/>
          <w:i w:val="0"/>
        </w:rPr>
        <w:t>Any AI-generated recommendation, learning path or root-cause hypothesis should expose a compact “Why?” layer. Do not overwhelm users with model internals; expose the evidence and rules relevant to the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AI output</w:t>
            </w:r>
          </w:p>
        </w:tc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Minimum explanation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 Best Action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gap addressed, prerequisite relation, expected unlock, evidence freshness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At-risk flag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affected outcomes, evidence confidence, threshold/reason code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Learning path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target, skipped/mastered prerequisites, ordering rationale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Career gap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target requirement, learner estimate, confidence, source framework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Credit recognition suggestion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mapped outcomes, similarity/equivalence evidence, policy status, human-review requirement</w:t>
            </w:r>
          </w:p>
        </w:tc>
      </w:tr>
    </w:tbl>
    <w:p>
      <w:pPr>
        <w:pStyle w:val="Heading1"/>
      </w:pPr>
      <w:r>
        <w:rPr>
          <w:b w:val="0"/>
          <w:i w:val="0"/>
        </w:rPr>
        <w:t>19. Accessibility and Inclusive Design</w:t>
      </w:r>
    </w:p>
    <w:p>
      <w:pPr>
        <w:pStyle w:val="ListBullet"/>
      </w:pPr>
      <w:r>
        <w:t>Target WCAG 2.2 AA for all core EKG workflows.</w:t>
      </w:r>
    </w:p>
    <w:p>
      <w:pPr>
        <w:pStyle w:val="ListBullet"/>
      </w:pPr>
      <w:r>
        <w:t>Keyboard-accessible matrix cells, drawers and local-graph nodes.</w:t>
      </w:r>
    </w:p>
    <w:p>
      <w:pPr>
        <w:pStyle w:val="ListBullet"/>
      </w:pPr>
      <w:r>
        <w:t>Provide list/table alternative for every local graph.</w:t>
      </w:r>
    </w:p>
    <w:p>
      <w:pPr>
        <w:pStyle w:val="ListBullet"/>
      </w:pPr>
      <w:r>
        <w:t>Never depend on color alone for mastery, confidence or risk.</w:t>
      </w:r>
    </w:p>
    <w:p>
      <w:pPr>
        <w:pStyle w:val="ListBullet"/>
      </w:pPr>
      <w:r>
        <w:t>Use readable labels for acronyms; expand CLO/MLO on first contextual use when appropriate.</w:t>
      </w:r>
    </w:p>
    <w:p>
      <w:pPr>
        <w:pStyle w:val="ListBullet"/>
      </w:pPr>
      <w:r>
        <w:t>Support zoom/reflow; keep essential explanatory text outside hover-only tooltips.</w:t>
      </w:r>
    </w:p>
    <w:p>
      <w:pPr>
        <w:pStyle w:val="ListBullet"/>
      </w:pPr>
      <w:r>
        <w:t>Use meaningful focus order matching the decision hierarchy, not DOM artifacts from visual layout.</w:t>
      </w:r>
    </w:p>
    <w:p>
      <w:pPr>
        <w:pStyle w:val="Heading1"/>
      </w:pPr>
      <w:r>
        <w:rPr>
          <w:b w:val="0"/>
          <w:i w:val="0"/>
        </w:rPr>
        <w:t>20. Anti-pattern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Anti-pattern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Why it fails</w:t>
            </w:r>
          </w:p>
        </w:tc>
        <w:tc>
          <w:tcPr>
            <w:tcW w:type="dxa" w:w="3408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Replacement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The Hairball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Hundreds of nodes/edges destroy orientation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Task-scoped projection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Dashboard Christmas Tree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Too many KPIs compete for attention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3–5 primary KPIs + exception queue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Percentage Without Evidence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False precision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Mastery + confidence / insufficient evidence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Ontology Leakage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Users see IDs/edge names instead of meaning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Plain-language labels + optional technical detail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One UI for All Roles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Different decisions require different abstraction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Role-based Lens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Graph as Navigation Menu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Topology is not IA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Hierarchical scope + contextual graph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Red Means Everything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Risk, low confidence and missing evidence get conflated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Separate semantic states</w:t>
            </w:r>
          </w:p>
        </w:tc>
      </w:tr>
      <w:tr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AI Oracle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Recommendation has no rationale</w:t>
            </w:r>
          </w:p>
        </w:tc>
        <w:tc>
          <w:tcPr>
            <w:tcW w:type="dxa" w:w="340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Explainability drawer + evidence trace</w:t>
            </w:r>
          </w:p>
        </w:tc>
      </w:tr>
    </w:tbl>
    <w:p>
      <w:pPr>
        <w:pStyle w:val="Heading1"/>
      </w:pPr>
      <w:r>
        <w:rPr>
          <w:b w:val="0"/>
          <w:i w:val="0"/>
        </w:rPr>
        <w:t>21. Designer Workflow: From User Question to Paper Prototype</w:t>
      </w:r>
    </w:p>
    <w:p>
      <w:pPr>
        <w:pStyle w:val="ListNumber"/>
      </w:pPr>
      <w:r>
        <w:t>Write the user’s decision question in one sentence.</w:t>
      </w:r>
    </w:p>
    <w:p>
      <w:pPr>
        <w:pStyle w:val="ListNumber"/>
      </w:pPr>
      <w:r>
        <w:t>Identify role and authorized scope.</w:t>
      </w:r>
    </w:p>
    <w:p>
      <w:pPr>
        <w:pStyle w:val="ListNumber"/>
      </w:pPr>
      <w:r>
        <w:t>Select required EKG entities and metrics only.</w:t>
      </w:r>
    </w:p>
    <w:p>
      <w:pPr>
        <w:pStyle w:val="ListNumber"/>
      </w:pPr>
      <w:r>
        <w:t>Choose the lowest-complexity visualization primitive that answers the question.</w:t>
      </w:r>
    </w:p>
    <w:p>
      <w:pPr>
        <w:pStyle w:val="ListNumber"/>
      </w:pPr>
      <w:r>
        <w:t>Define L0 signal and L1 explanation before designing deeper detail.</w:t>
      </w:r>
    </w:p>
    <w:p>
      <w:pPr>
        <w:pStyle w:val="ListNumber"/>
      </w:pPr>
      <w:r>
        <w:t>Add L2 evidence and only then decide whether L3 local graph is justified.</w:t>
      </w:r>
    </w:p>
    <w:p>
      <w:pPr>
        <w:pStyle w:val="ListNumber"/>
      </w:pPr>
      <w:r>
        <w:t>Define primary action and what success looks like.</w:t>
      </w:r>
    </w:p>
    <w:p>
      <w:pPr>
        <w:pStyle w:val="ListNumber"/>
      </w:pPr>
      <w:r>
        <w:t>Design empty/low-confidence/stale/restricted states.</w:t>
      </w:r>
    </w:p>
    <w:p>
      <w:pPr>
        <w:pStyle w:val="ListNumber"/>
      </w:pPr>
      <w:r>
        <w:t>Prototype desktop and required responsive states in Paper.</w:t>
      </w:r>
    </w:p>
    <w:p>
      <w:pPr>
        <w:pStyle w:val="ListNumber"/>
      </w:pPr>
      <w:r>
        <w:t>Annotate each component with view-model fields and interaction contract.</w:t>
      </w:r>
    </w:p>
    <w:p>
      <w:pPr>
        <w:pStyle w:val="ListNumber"/>
      </w:pPr>
      <w:r>
        <w:t>Run a task-based usability review using realistic EKG data, not lorem ipsum.</w:t>
      </w:r>
    </w:p>
    <w:p>
      <w:pPr>
        <w:pStyle w:val="ListNumber"/>
      </w:pPr>
      <w:r>
        <w:t>Hand off with semantic tokens, component mapping and acceptance criteria.</w:t>
      </w:r>
    </w:p>
    <w:p>
      <w:pPr>
        <w:pStyle w:val="Heading1"/>
      </w:pPr>
      <w:r>
        <w:rPr>
          <w:b w:val="0"/>
          <w:i w:val="0"/>
        </w:rPr>
        <w:t>22. UX Acceptance Criteria for EKG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Criterion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UX-EKG-01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A first-time role user can identify the primary attention/action item within 10 seconds.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UX-EKG-02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No default end-user screen renders an unbounded graph traversal.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UX-EKG-03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Every mastery value exposes confidence or an explicit evidence-quality state.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UX-EKG-04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Every aggregate risk/attainment signal has an authorized explanation path.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UX-EKG-05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 graphs default to ≤2 hops and provide a non-graph accessible alternative.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UX-EKG-06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Ontology IDs and framework URIs do not dominate student/executive default views.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UX-EKG-07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Empty, stale, low-confidence and ACL-restricted states have explicit designs.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UX-EKG-08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UI uses view-model contracts; no direct Neo4j dependency exists in screen specs.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UX-EKG-09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Role lenses preserve scope and breadcrumbs during drill-down.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UX-EKG-10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Critical workflows meet WCAG 2.2 AA design criteria.</w:t>
            </w:r>
          </w:p>
        </w:tc>
      </w:tr>
    </w:tbl>
    <w:p>
      <w:pPr>
        <w:pStyle w:val="Heading1"/>
      </w:pPr>
      <w:r>
        <w:rPr>
          <w:b w:val="0"/>
          <w:i w:val="0"/>
        </w:rPr>
        <w:t>23. Required UI/UX Deliverables</w:t>
      </w:r>
    </w:p>
    <w:p>
      <w:pPr>
        <w:pStyle w:val="ListBullet"/>
      </w:pPr>
      <w:r>
        <w:t>Paper design file organized according to Section 14.</w:t>
      </w:r>
    </w:p>
    <w:p>
      <w:pPr>
        <w:pStyle w:val="ListBullet"/>
      </w:pPr>
      <w:r>
        <w:t>EKG foundations/tokens and semantic state definitions.</w:t>
      </w:r>
    </w:p>
    <w:p>
      <w:pPr>
        <w:pStyle w:val="ListBullet"/>
      </w:pPr>
      <w:r>
        <w:t>Reusable component library for Section 11 primitives.</w:t>
      </w:r>
    </w:p>
    <w:p>
      <w:pPr>
        <w:pStyle w:val="ListBullet"/>
      </w:pPr>
      <w:r>
        <w:t>Student, Faculty, Dean and Provost reference screens.</w:t>
      </w:r>
    </w:p>
    <w:p>
      <w:pPr>
        <w:pStyle w:val="ListBullet"/>
      </w:pPr>
      <w:r>
        <w:t>Responsive Student flows and compact executive exception views.</w:t>
      </w:r>
    </w:p>
    <w:p>
      <w:pPr>
        <w:pStyle w:val="ListBullet"/>
      </w:pPr>
      <w:r>
        <w:t>Prototype journeys for: learning recommendation, faculty root-cause diagnosis, curriculum gap analysis, executive program drill-down.</w:t>
      </w:r>
    </w:p>
    <w:p>
      <w:pPr>
        <w:pStyle w:val="ListBullet"/>
      </w:pPr>
      <w:r>
        <w:t>State library: empty, uncertain, stale, blocked, restricted, mapping-under-review.</w:t>
      </w:r>
    </w:p>
    <w:p>
      <w:pPr>
        <w:pStyle w:val="ListBullet"/>
      </w:pPr>
      <w:r>
        <w:t>Accessibility annotations and graph/list equivalents.</w:t>
      </w:r>
    </w:p>
    <w:p>
      <w:pPr>
        <w:pStyle w:val="ListBullet"/>
      </w:pPr>
      <w:r>
        <w:t>View-model/API field annotations for engineering handoff.</w:t>
      </w:r>
    </w:p>
    <w:p>
      <w:pPr>
        <w:pStyle w:val="ListBullet"/>
      </w:pPr>
      <w:r>
        <w:t>Usability test script and acceptance checklist based on Section 22.</w:t>
      </w:r>
    </w:p>
    <w:p>
      <w:pPr>
        <w:pStyle w:val="Heading1"/>
      </w:pPr>
      <w:r>
        <w:rPr>
          <w:b w:val="0"/>
          <w:i w:val="0"/>
        </w:rPr>
        <w:t>Appendix A — Quick Selection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If the user asks…</w:t>
            </w:r>
          </w:p>
        </w:tc>
        <w:tc>
          <w:tcPr>
            <w:tcW w:type="dxa" w:w="5112"/>
            <w:shd w:fill="1F304E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Show…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“What should I do next?”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Next Best Action + path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“What do I still need to learn?”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Gap list + mastery/readiness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“Why can’t I start this?”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Prerequisite path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“Which CLO is weak?”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Outcome health table/heatmap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“Why is this CLO weak?”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Ranked explanation + optional local graph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“Do courses cover program outcomes?”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Coverage matrix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“Which program needs attention?”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Ranked portfolio risk table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“Can we prove this outcome?”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5F7FA"/>
          </w:tcPr>
          <w:p>
            <w:r>
              <w:rPr>
                <w:sz w:val="16"/>
              </w:rPr>
              <w:t>Traceability chain to evidence</w:t>
            </w:r>
          </w:p>
        </w:tc>
      </w:tr>
      <w:tr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“How are these concepts related?”</w:t>
            </w:r>
          </w:p>
        </w:tc>
        <w:tc>
          <w:tcPr>
            <w:tcW w:type="dxa" w:w="511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sz w:val="16"/>
              </w:rPr>
              <w:t>Local graph</w:t>
            </w:r>
          </w:p>
        </w:tc>
      </w:tr>
    </w:tbl>
    <w:p>
      <w:pPr>
        <w:pStyle w:val="Heading1"/>
      </w:pPr>
      <w:r>
        <w:rPr>
          <w:b w:val="0"/>
          <w:i w:val="0"/>
        </w:rPr>
        <w:t>Appendix B — Paper Design Implementation Notes</w:t>
      </w:r>
    </w:p>
    <w:p>
      <w:r>
        <w:rPr>
          <w:b w:val="0"/>
          <w:i w:val="0"/>
        </w:rPr>
        <w:t>At the time of this guide (August 2026), Paper documentation describes Paper Desktop/web, an HTML/CSS-based design canvas, MCP connectivity, token/theme support, and workflows to move between design and code. The guide intentionally defines semantic components and patterns rather than depending on unstable product-specific component names. Designers should map these patterns to the active Paper workspace and DLU codebase tokens/components.</w:t>
      </w:r>
    </w:p>
    <w:p>
      <w:r>
        <w:rPr>
          <w:b w:val="0"/>
          <w:i w:val="0"/>
        </w:rPr>
        <w:t>Reference sources: paper.design (product overview); paper.design/docs (documentation); paper.design/docs/support (canvas/tools/export/support). Accessed August 2026.</w:t>
      </w:r>
    </w:p>
    <w:p>
      <w:pPr>
        <w:pStyle w:val="Heading1"/>
      </w:pPr>
      <w:r>
        <w:rPr>
          <w:b w:val="0"/>
          <w:i w:val="0"/>
        </w:rPr>
        <w:t>Appendix C — Handoff Note to Engineering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EF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3057A6"/>
              </w:rPr>
              <w:t xml:space="preserve">Architecture boundary — </w:t>
            </w:r>
            <w:r>
              <w:t>The UI/UX design may visualize graph-derived data, but must never require direct Neo4j access. Every screen should be satisfiable by a versioned projection/view-model API with tenant/ACL enforcement inherited from EKG 1.1.</w:t>
            </w:r>
          </w:p>
        </w:tc>
      </w:tr>
    </w:tbl>
    <w:p/>
    <w:sectPr w:rsidR="00FC693F" w:rsidRPr="0006063C" w:rsidSect="00034616">
      <w:headerReference w:type="default" r:id="rId15"/>
      <w:footerReference w:type="default" r:id="rId16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A96"/>
        <w:sz w:val="15"/>
      </w:rPr>
      <w:t>Confidential · Design &amp; Engineering Reference ·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A96"/>
        <w:sz w:val="15"/>
      </w:rPr>
      <w:t>DLU EKG 1.1 · UI/UX &amp; Experience Design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04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57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14B5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304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