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Regras financeiras do Elos OS</w:t>
      </w:r>
    </w:p>
    <w:p>
      <w:pPr>
        <w:pStyle w:val="Subtitle"/>
      </w:pPr>
      <w:r>
        <w:rPr>
          <w:b w:val="0"/>
        </w:rPr>
        <w:t>Proposta para validação do responsável financeiro</w:t>
      </w:r>
    </w:p>
    <w:p>
      <w:pPr>
        <w:spacing w:after="240"/>
      </w:pPr>
      <w:r>
        <w:rPr>
          <w:b w:val="0"/>
          <w:sz w:val="18"/>
        </w:rPr>
        <w:t>Versão 0.1 | 21 de outubro de 2026 | Aplicação gerencial e especificação funcional</w:t>
      </w:r>
    </w:p>
    <w:p>
      <w:r>
        <w:rPr>
          <w:b w:val="0"/>
        </w:rPr>
        <w:t>Este documento propõe como o Elos OS deve calcular, apresentar e comprovar seus indicadores financeiros. A aprovação deve fixar o significado dos números antes da programação e da homologação. A proposta separa obrigações, compromissos futuros, estimativas, execução econômica e caixa, preservando a ligação entre eles. As regras descritas não constituem confirmação do comportamento atual do sistema.</w:t>
      </w:r>
    </w:p>
    <w:p>
      <w:r>
        <w:rPr>
          <w:b w:val="0"/>
        </w:rPr>
        <w:t>O responsável financeiro deve deliberar sobre as decisões D01 a D14. Engenharia participa da medição, do orçamento e da previsão física; o contador valida reconhecimento, tributos, materialidade e correções contábeis. A data desta proposta não estabelece uma data de corte das bases. Todos os exemplos numéricos são didáticos e não representam saldos da Bossa, do Flow ou do Alma.</w:t>
      </w:r>
    </w:p>
    <w:p>
      <w:pPr>
        <w:pStyle w:val="Heading1"/>
      </w:pPr>
      <w:r>
        <w:rPr>
          <w:b w:val="0"/>
        </w:rPr>
        <w:t>1 Fundamentos e limites das fontes</w:t>
      </w:r>
    </w:p>
    <w:p>
      <w:pPr>
        <w:keepNext/>
      </w:pPr>
      <w:r>
        <w:rPr>
          <w:b w:val="0"/>
        </w:rPr>
        <w:t>O Catálogo de Conferência Financeira preparado em 21/10/2026 reúne 27 arquivos históricos. Ele registra ausência de corte comum, de snapshot transacional atual do Elos OS e de conjunto operacional completo de contratos. O fluxo disponível cobre 01/03/2025 a 30/04/2026. Esses materiais ajudam a definir controles e a testar importações; não comprovam, por si, uma posição financeira em outubro de 2026. [S1]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95" w:type="dxa"/>
          <w:bottom w:w="95" w:type="dxa"/>
          <w:right w:w="95" w:type="dxa"/>
        </w:tblCellMar>
      </w:tblPr>
      <w:tblGrid>
        <w:gridCol w:w="3024"/>
        <w:gridCol w:w="7056"/>
      </w:tblGrid>
      <w:tr>
        <w:trPr>
          <w:cantSplit/>
          <w:tblHeader/>
        </w:trPr>
        <w:tc>
          <w:tcPr>
            <w:tcW w:type="dxa" w:w="3024"/>
            <w:vAlign w:val="center"/>
            <w:shd w:fill="203F50"/>
          </w:tcPr>
          <w:p>
            <w:pPr>
              <w:widowControl/>
              <w:spacing w:line="245" w:lineRule="auto" w:before="20" w:after="20"/>
            </w:pPr>
            <w:r>
              <w:rPr>
                <w:rFonts w:ascii="Arial" w:hAnsi="Arial"/>
                <w:b/>
                <w:color w:val="FFFFFF"/>
                <w:sz w:val="19"/>
              </w:rPr>
              <w:t>Achado documentado</w:t>
            </w:r>
          </w:p>
        </w:tc>
        <w:tc>
          <w:tcPr>
            <w:tcW w:type="dxa" w:w="7056"/>
            <w:vAlign w:val="center"/>
            <w:shd w:fill="203F50"/>
          </w:tcPr>
          <w:p>
            <w:pPr>
              <w:widowControl/>
              <w:spacing w:line="245" w:lineRule="auto" w:before="20" w:after="20"/>
            </w:pPr>
            <w:r>
              <w:rPr>
                <w:rFonts w:ascii="Arial" w:hAnsi="Arial"/>
                <w:b/>
                <w:color w:val="FFFFFF"/>
                <w:sz w:val="19"/>
              </w:rPr>
              <w:t>Consequência para as regras</w:t>
            </w:r>
          </w:p>
        </w:tc>
      </w:tr>
      <w:tr>
        <w:trPr>
          <w:cantSplit/>
        </w:trPr>
        <w:tc>
          <w:tcPr>
            <w:tcW w:type="dxa" w:w="3024"/>
            <w:vAlign w:val="center"/>
          </w:tcPr>
          <w:p>
            <w:pPr>
              <w:widowControl/>
              <w:spacing w:line="245" w:lineRule="auto" w:before="20" w:after="20"/>
            </w:pPr>
            <w:r>
              <w:rPr>
                <w:rFonts w:ascii="Arial" w:hAnsi="Arial"/>
                <w:sz w:val="19"/>
              </w:rPr>
              <w:t>Versões da carteira Flow com 3.261 títulos</w:t>
            </w:r>
          </w:p>
        </w:tc>
        <w:tc>
          <w:tcPr>
            <w:tcW w:type="dxa" w:w="7056"/>
            <w:vAlign w:val="center"/>
          </w:tcPr>
          <w:p>
            <w:pPr>
              <w:widowControl/>
              <w:spacing w:line="245" w:lineRule="auto" w:before="20" w:after="20"/>
            </w:pPr>
            <w:r>
              <w:rPr>
                <w:rFonts w:ascii="Arial" w:hAnsi="Arial"/>
                <w:sz w:val="19"/>
              </w:rPr>
              <w:t>Tratar como fotografias e enriquecimentos da mesma carteira. Não somar versões nem presumir que a mais recente foi integralmente validada.</w:t>
            </w:r>
          </w:p>
        </w:tc>
      </w:tr>
      <w:tr>
        <w:trPr>
          <w:cantSplit/>
        </w:trPr>
        <w:tc>
          <w:tcPr>
            <w:tcW w:type="dxa" w:w="3024"/>
            <w:vAlign w:val="center"/>
            <w:shd w:fill="F3F5F6"/>
          </w:tcPr>
          <w:p>
            <w:pPr>
              <w:widowControl/>
              <w:spacing w:line="245" w:lineRule="auto" w:before="20" w:after="20"/>
            </w:pPr>
            <w:r>
              <w:rPr>
                <w:rFonts w:ascii="Arial" w:hAnsi="Arial"/>
                <w:sz w:val="19"/>
              </w:rPr>
              <w:t>1.469 sem centro financeiro e 1.553 sem apropriação</w:t>
            </w:r>
          </w:p>
        </w:tc>
        <w:tc>
          <w:tcPr>
            <w:tcW w:type="dxa" w:w="7056"/>
            <w:vAlign w:val="center"/>
            <w:shd w:fill="F3F5F6"/>
          </w:tcPr>
          <w:p>
            <w:pPr>
              <w:widowControl/>
              <w:spacing w:line="245" w:lineRule="auto" w:before="20" w:after="20"/>
            </w:pPr>
            <w:r>
              <w:rPr>
                <w:rFonts w:ascii="Arial" w:hAnsi="Arial"/>
                <w:sz w:val="19"/>
              </w:rPr>
              <w:t>Manter dimensões e indicadores separados. As populações podem se sobrepor; sua soma não representa títulos únicos.</w:t>
            </w:r>
          </w:p>
        </w:tc>
      </w:tr>
      <w:tr>
        <w:trPr>
          <w:cantSplit/>
        </w:trPr>
        <w:tc>
          <w:tcPr>
            <w:tcW w:type="dxa" w:w="3024"/>
            <w:vAlign w:val="center"/>
          </w:tcPr>
          <w:p>
            <w:pPr>
              <w:widowControl/>
              <w:spacing w:line="245" w:lineRule="auto" w:before="20" w:after="20"/>
            </w:pPr>
            <w:r>
              <w:rPr>
                <w:rFonts w:ascii="Arial" w:hAnsi="Arial"/>
                <w:sz w:val="19"/>
              </w:rPr>
              <w:t>Diferença de R$ 149.589,33 entre derivada e PDF20</w:t>
            </w:r>
          </w:p>
        </w:tc>
        <w:tc>
          <w:tcPr>
            <w:tcW w:type="dxa" w:w="7056"/>
            <w:vAlign w:val="center"/>
          </w:tcPr>
          <w:p>
            <w:pPr>
              <w:widowControl/>
              <w:spacing w:line="245" w:lineRule="auto" w:before="20" w:after="20"/>
            </w:pPr>
            <w:r>
              <w:rPr>
                <w:rFonts w:ascii="Arial" w:hAnsi="Arial"/>
                <w:sz w:val="19"/>
              </w:rPr>
              <w:t>Manter a divergência em conciliação. Não criar pagamento, desconto ou ajuste sem documento para fazer os totais coincidirem.</w:t>
            </w:r>
          </w:p>
        </w:tc>
      </w:tr>
      <w:tr>
        <w:trPr>
          <w:cantSplit/>
        </w:trPr>
        <w:tc>
          <w:tcPr>
            <w:tcW w:type="dxa" w:w="3024"/>
            <w:vAlign w:val="center"/>
            <w:shd w:fill="F3F5F6"/>
          </w:tcPr>
          <w:p>
            <w:pPr>
              <w:widowControl/>
              <w:spacing w:line="245" w:lineRule="auto" w:before="20" w:after="20"/>
            </w:pPr>
            <w:r>
              <w:rPr>
                <w:rFonts w:ascii="Arial" w:hAnsi="Arial"/>
                <w:sz w:val="19"/>
              </w:rPr>
              <w:t>Diferença de R$ 1.000,20 em conversões de junho</w:t>
            </w:r>
          </w:p>
        </w:tc>
        <w:tc>
          <w:tcPr>
            <w:tcW w:type="dxa" w:w="7056"/>
            <w:vAlign w:val="center"/>
            <w:shd w:fill="F3F5F6"/>
          </w:tcPr>
          <w:p>
            <w:pPr>
              <w:widowControl/>
              <w:spacing w:line="245" w:lineRule="auto" w:before="20" w:after="20"/>
            </w:pPr>
            <w:r>
              <w:rPr>
                <w:rFonts w:ascii="Arial" w:hAnsi="Arial"/>
                <w:sz w:val="19"/>
              </w:rPr>
              <w:t>Testar a hipótese de bruto versus líquido, pois coincide com desconto declarado. A coincidência não autoriza correção automática.</w:t>
            </w:r>
          </w:p>
        </w:tc>
      </w:tr>
      <w:tr>
        <w:trPr>
          <w:cantSplit/>
        </w:trPr>
        <w:tc>
          <w:tcPr>
            <w:tcW w:type="dxa" w:w="3024"/>
            <w:vAlign w:val="center"/>
          </w:tcPr>
          <w:p>
            <w:pPr>
              <w:widowControl/>
              <w:spacing w:line="245" w:lineRule="auto" w:before="20" w:after="20"/>
            </w:pPr>
            <w:r>
              <w:rPr>
                <w:rFonts w:ascii="Arial" w:hAnsi="Arial"/>
                <w:sz w:val="19"/>
              </w:rPr>
              <w:t>PREVIS em relatórios de contas a pagar</w:t>
            </w:r>
          </w:p>
        </w:tc>
        <w:tc>
          <w:tcPr>
            <w:tcW w:type="dxa" w:w="7056"/>
            <w:vAlign w:val="center"/>
          </w:tcPr>
          <w:p>
            <w:pPr>
              <w:widowControl/>
              <w:spacing w:line="245" w:lineRule="auto" w:before="20" w:after="20"/>
            </w:pPr>
            <w:r>
              <w:rPr>
                <w:rFonts w:ascii="Arial" w:hAnsi="Arial"/>
                <w:sz w:val="19"/>
              </w:rPr>
              <w:t>Classificar a natureza por evidência. O rótulo pode sinalizar previsão, mas não comprova sozinho obrigação ou duplicidade.</w:t>
            </w:r>
          </w:p>
        </w:tc>
      </w:tr>
      <w:tr>
        <w:trPr>
          <w:cantSplit/>
        </w:trPr>
        <w:tc>
          <w:tcPr>
            <w:tcW w:type="dxa" w:w="3024"/>
            <w:vAlign w:val="center"/>
            <w:shd w:fill="F3F5F6"/>
          </w:tcPr>
          <w:p>
            <w:pPr>
              <w:widowControl/>
              <w:spacing w:line="245" w:lineRule="auto" w:before="20" w:after="20"/>
            </w:pPr>
            <w:r>
              <w:rPr>
                <w:rFonts w:ascii="Arial" w:hAnsi="Arial"/>
                <w:sz w:val="19"/>
              </w:rPr>
              <w:t>Recebíveis completo com 3.682 e parcial com 176 registros</w:t>
            </w:r>
          </w:p>
        </w:tc>
        <w:tc>
          <w:tcPr>
            <w:tcW w:type="dxa" w:w="7056"/>
            <w:vAlign w:val="center"/>
            <w:shd w:fill="F3F5F6"/>
          </w:tcPr>
          <w:p>
            <w:pPr>
              <w:widowControl/>
              <w:spacing w:line="245" w:lineRule="auto" w:before="20" w:after="20"/>
            </w:pPr>
            <w:r>
              <w:rPr>
                <w:rFonts w:ascii="Arial" w:hAnsi="Arial"/>
                <w:sz w:val="19"/>
              </w:rPr>
              <w:t>Não somar sem identidade de título e parcela; o segundo pode ser um subconjunto do primeiro.</w:t>
            </w:r>
          </w:p>
        </w:tc>
      </w:tr>
      <w:tr>
        <w:trPr>
          <w:cantSplit/>
        </w:trPr>
        <w:tc>
          <w:tcPr>
            <w:tcW w:type="dxa" w:w="3024"/>
            <w:vAlign w:val="center"/>
          </w:tcPr>
          <w:p>
            <w:pPr>
              <w:widowControl/>
              <w:spacing w:line="245" w:lineRule="auto" w:before="20" w:after="20"/>
            </w:pPr>
            <w:r>
              <w:rPr>
                <w:rFonts w:ascii="Arial" w:hAnsi="Arial"/>
                <w:sz w:val="19"/>
              </w:rPr>
              <w:t>Rev03 com vigência pendente e erros de fórmula</w:t>
            </w:r>
          </w:p>
        </w:tc>
        <w:tc>
          <w:tcPr>
            <w:tcW w:type="dxa" w:w="7056"/>
            <w:vAlign w:val="center"/>
          </w:tcPr>
          <w:p>
            <w:pPr>
              <w:widowControl/>
              <w:spacing w:line="245" w:lineRule="auto" w:before="20" w:after="20"/>
            </w:pPr>
            <w:r>
              <w:rPr>
                <w:rFonts w:ascii="Arial" w:hAnsi="Arial"/>
                <w:sz w:val="19"/>
              </w:rPr>
              <w:t>Validar versão, base de preços, fórmulas e mapa de EAP antes de adotar o orçamento como referência.</w:t>
            </w:r>
          </w:p>
        </w:tc>
      </w:tr>
    </w:tbl>
    <w:p>
      <w:pPr>
        <w:spacing w:after="40" w:before="0" w:line="96" w:lineRule="auto"/>
      </w:pPr>
      <w:r>
        <w:rPr>
          <w:sz w:val="4"/>
        </w:rPr>
      </w:r>
    </w:p>
    <w:p>
      <w:r>
        <w:rPr>
          <w:b w:val="0"/>
        </w:rPr>
        <w:t>O handoff da integração registra Koper como origem oficial e somente leitura, além de uma regra histórica de atribuição padrão ao Flow para pendências sem obra identificada. Também registra lançamentos do Alma na matriz. Proponho substituir o padrão Flow por “Obra não identificada” nos casos sem evidência, mediante D01. Os registros legados atribuídos por padrão devem receber marca de classificação provisória e revisão documentada, sem realocação em massa silenciosa. [S2]</w:t>
      </w:r>
    </w:p>
    <w:p>
      <w:r>
        <w:rPr>
          <w:b w:val="0"/>
        </w:rPr>
        <w:t>Referências conceituais: competência e caixa são dimensões diferentes; receita reconhecida também difere de recebimento. As referências CPC 00, CPC 03, CPC 23 e CPC 47 fundamentam essas distinções. As fórmulas e controles deste documento são propostas de política gerencial; o enquadramento contábil da entidade deve ser confirmado pelo contador. [N1 a N4]</w:t>
      </w:r>
    </w:p>
    <w:p>
      <w:pPr>
        <w:pStyle w:val="Heading1"/>
      </w:pPr>
      <w:r>
        <w:rPr>
          <w:b w:val="0"/>
        </w:rPr>
        <w:t>2 Fontes válidas e objetos financeiros</w:t>
      </w:r>
    </w:p>
    <w:p>
      <w:pPr>
        <w:keepNext/>
      </w:pPr>
      <w:r>
        <w:rPr>
          <w:b w:val="0"/>
        </w:rPr>
        <w:t>A validade de uma fonte depende do fato que ela comprova. Não haverá uma hierarquia única em que um arquivo ou sistema substitui todas as demais evidências. O dado bruto de origem permanece preservado; a camada validada registra interpretação, vínculo, ajustes, motivo e aprovação.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95" w:type="dxa"/>
          <w:bottom w:w="95" w:type="dxa"/>
          <w:right w:w="95" w:type="dxa"/>
        </w:tblCellMar>
      </w:tblPr>
      <w:tblGrid>
        <w:gridCol w:w="2088"/>
        <w:gridCol w:w="4464"/>
        <w:gridCol w:w="3528"/>
      </w:tblGrid>
      <w:tr>
        <w:trPr>
          <w:cantSplit/>
          <w:tblHeader/>
        </w:trPr>
        <w:tc>
          <w:tcPr>
            <w:tcW w:type="dxa" w:w="2088"/>
            <w:vAlign w:val="center"/>
            <w:shd w:fill="203F50"/>
          </w:tcPr>
          <w:p>
            <w:pPr>
              <w:widowControl/>
              <w:spacing w:line="245" w:lineRule="auto" w:before="20" w:after="20"/>
            </w:pPr>
            <w:r>
              <w:rPr>
                <w:rFonts w:ascii="Arial" w:hAnsi="Arial"/>
                <w:b/>
                <w:color w:val="FFFFFF"/>
                <w:sz w:val="19"/>
              </w:rPr>
              <w:t>Objeto</w:t>
            </w:r>
          </w:p>
        </w:tc>
        <w:tc>
          <w:tcPr>
            <w:tcW w:type="dxa" w:w="4464"/>
            <w:vAlign w:val="center"/>
            <w:shd w:fill="203F50"/>
          </w:tcPr>
          <w:p>
            <w:pPr>
              <w:widowControl/>
              <w:spacing w:line="245" w:lineRule="auto" w:before="20" w:after="20"/>
            </w:pPr>
            <w:r>
              <w:rPr>
                <w:rFonts w:ascii="Arial" w:hAnsi="Arial"/>
                <w:b/>
                <w:color w:val="FFFFFF"/>
                <w:sz w:val="19"/>
              </w:rPr>
              <w:t>Fonte válida proposta</w:t>
            </w:r>
          </w:p>
        </w:tc>
        <w:tc>
          <w:tcPr>
            <w:tcW w:type="dxa" w:w="3528"/>
            <w:vAlign w:val="center"/>
            <w:shd w:fill="203F50"/>
          </w:tcPr>
          <w:p>
            <w:pPr>
              <w:widowControl/>
              <w:spacing w:line="245" w:lineRule="auto" w:before="20" w:after="20"/>
            </w:pPr>
            <w:r>
              <w:rPr>
                <w:rFonts w:ascii="Arial" w:hAnsi="Arial"/>
                <w:b/>
                <w:color w:val="FFFFFF"/>
                <w:sz w:val="19"/>
              </w:rPr>
              <w:t>Vínculo e limite</w:t>
            </w:r>
          </w:p>
        </w:tc>
      </w:tr>
      <w:tr>
        <w:trPr>
          <w:cantSplit/>
        </w:trPr>
        <w:tc>
          <w:tcPr>
            <w:tcW w:type="dxa" w:w="2088"/>
            <w:vAlign w:val="center"/>
          </w:tcPr>
          <w:p>
            <w:pPr>
              <w:widowControl/>
              <w:spacing w:line="245" w:lineRule="auto" w:before="20" w:after="20"/>
            </w:pPr>
            <w:r>
              <w:rPr>
                <w:rFonts w:ascii="Arial" w:hAnsi="Arial"/>
                <w:sz w:val="19"/>
              </w:rPr>
              <w:t>Obrigação ou título</w:t>
            </w:r>
          </w:p>
        </w:tc>
        <w:tc>
          <w:tcPr>
            <w:tcW w:type="dxa" w:w="4464"/>
            <w:vAlign w:val="center"/>
          </w:tcPr>
          <w:p>
            <w:pPr>
              <w:widowControl/>
              <w:spacing w:line="245" w:lineRule="auto" w:before="20" w:after="20"/>
            </w:pPr>
            <w:r>
              <w:rPr>
                <w:rFonts w:ascii="Arial" w:hAnsi="Arial"/>
                <w:sz w:val="19"/>
              </w:rPr>
              <w:t>Cadastro completo do sistema de origem, acompanhado de documento, contrato, aceite ou outro suporte aplicável.</w:t>
            </w:r>
          </w:p>
        </w:tc>
        <w:tc>
          <w:tcPr>
            <w:tcW w:type="dxa" w:w="3528"/>
            <w:vAlign w:val="center"/>
          </w:tcPr>
          <w:p>
            <w:pPr>
              <w:widowControl/>
              <w:spacing w:line="245" w:lineRule="auto" w:before="20" w:after="20"/>
            </w:pPr>
            <w:r>
              <w:rPr>
                <w:rFonts w:ascii="Arial" w:hAnsi="Arial"/>
                <w:sz w:val="19"/>
              </w:rPr>
              <w:t>Entidade, contraparte, documento e parcela. Uma linha de previsão não vira dívida por estar no contas a pagar.</w:t>
            </w:r>
          </w:p>
        </w:tc>
      </w:tr>
      <w:tr>
        <w:trPr>
          <w:cantSplit/>
        </w:trPr>
        <w:tc>
          <w:tcPr>
            <w:tcW w:type="dxa" w:w="2088"/>
            <w:vAlign w:val="center"/>
            <w:shd w:fill="F3F5F6"/>
          </w:tcPr>
          <w:p>
            <w:pPr>
              <w:widowControl/>
              <w:spacing w:line="245" w:lineRule="auto" w:before="20" w:after="20"/>
            </w:pPr>
            <w:r>
              <w:rPr>
                <w:rFonts w:ascii="Arial" w:hAnsi="Arial"/>
                <w:sz w:val="19"/>
              </w:rPr>
              <w:t>Execução e custo</w:t>
            </w:r>
          </w:p>
        </w:tc>
        <w:tc>
          <w:tcPr>
            <w:tcW w:type="dxa" w:w="4464"/>
            <w:vAlign w:val="center"/>
            <w:shd w:fill="F3F5F6"/>
          </w:tcPr>
          <w:p>
            <w:pPr>
              <w:widowControl/>
              <w:spacing w:line="245" w:lineRule="auto" w:before="20" w:after="20"/>
            </w:pPr>
            <w:r>
              <w:rPr>
                <w:rFonts w:ascii="Arial" w:hAnsi="Arial"/>
                <w:sz w:val="19"/>
              </w:rPr>
              <w:t>Medição aceita, recebimento, consumo de estoque, folha e demais eventos econômicos previstos na política.</w:t>
            </w:r>
          </w:p>
        </w:tc>
        <w:tc>
          <w:tcPr>
            <w:tcW w:type="dxa" w:w="3528"/>
            <w:vAlign w:val="center"/>
            <w:shd w:fill="F3F5F6"/>
          </w:tcPr>
          <w:p>
            <w:pPr>
              <w:widowControl/>
              <w:spacing w:line="245" w:lineRule="auto" w:before="20" w:after="20"/>
            </w:pPr>
            <w:r>
              <w:rPr>
                <w:rFonts w:ascii="Arial" w:hAnsi="Arial"/>
                <w:sz w:val="19"/>
              </w:rPr>
              <w:t>Obra e EAP. Nota, medição e consumo do mesmo recurso não geram três custos.</w:t>
            </w:r>
          </w:p>
        </w:tc>
      </w:tr>
      <w:tr>
        <w:trPr>
          <w:cantSplit/>
        </w:trPr>
        <w:tc>
          <w:tcPr>
            <w:tcW w:type="dxa" w:w="2088"/>
            <w:vAlign w:val="center"/>
          </w:tcPr>
          <w:p>
            <w:pPr>
              <w:widowControl/>
              <w:spacing w:line="245" w:lineRule="auto" w:before="20" w:after="20"/>
            </w:pPr>
            <w:r>
              <w:rPr>
                <w:rFonts w:ascii="Arial" w:hAnsi="Arial"/>
                <w:sz w:val="19"/>
              </w:rPr>
              <w:t>Liquidação</w:t>
            </w:r>
          </w:p>
        </w:tc>
        <w:tc>
          <w:tcPr>
            <w:tcW w:type="dxa" w:w="4464"/>
            <w:vAlign w:val="center"/>
          </w:tcPr>
          <w:p>
            <w:pPr>
              <w:widowControl/>
              <w:spacing w:line="245" w:lineRule="auto" w:before="20" w:after="20"/>
            </w:pPr>
            <w:r>
              <w:rPr>
                <w:rFonts w:ascii="Arial" w:hAnsi="Arial"/>
                <w:sz w:val="19"/>
              </w:rPr>
              <w:t>Evento financeiro efetivado e sua composição, com comprovante ou evidência documental da compensação.</w:t>
            </w:r>
          </w:p>
        </w:tc>
        <w:tc>
          <w:tcPr>
            <w:tcW w:type="dxa" w:w="3528"/>
            <w:vAlign w:val="center"/>
          </w:tcPr>
          <w:p>
            <w:pPr>
              <w:widowControl/>
              <w:spacing w:line="245" w:lineRule="auto" w:before="20" w:after="20"/>
            </w:pPr>
            <w:r>
              <w:rPr>
                <w:rFonts w:ascii="Arial" w:hAnsi="Arial"/>
                <w:sz w:val="19"/>
              </w:rPr>
              <w:t>Um ou vários títulos. Status “pago” sem histórico suficiente sustenta saldo informado, não caixa confirmado.</w:t>
            </w:r>
          </w:p>
        </w:tc>
      </w:tr>
      <w:tr>
        <w:trPr>
          <w:cantSplit/>
        </w:trPr>
        <w:tc>
          <w:tcPr>
            <w:tcW w:type="dxa" w:w="2088"/>
            <w:vAlign w:val="center"/>
            <w:shd w:fill="F3F5F6"/>
          </w:tcPr>
          <w:p>
            <w:pPr>
              <w:widowControl/>
              <w:spacing w:line="245" w:lineRule="auto" w:before="20" w:after="20"/>
            </w:pPr>
            <w:r>
              <w:rPr>
                <w:rFonts w:ascii="Arial" w:hAnsi="Arial"/>
                <w:sz w:val="19"/>
              </w:rPr>
              <w:t>Caixa</w:t>
            </w:r>
          </w:p>
        </w:tc>
        <w:tc>
          <w:tcPr>
            <w:tcW w:type="dxa" w:w="4464"/>
            <w:vAlign w:val="center"/>
            <w:shd w:fill="F3F5F6"/>
          </w:tcPr>
          <w:p>
            <w:pPr>
              <w:widowControl/>
              <w:spacing w:line="245" w:lineRule="auto" w:before="20" w:after="20"/>
            </w:pPr>
            <w:r>
              <w:rPr>
                <w:rFonts w:ascii="Arial" w:hAnsi="Arial"/>
                <w:sz w:val="19"/>
              </w:rPr>
              <w:t>Extrato completo de conta identificada, confirmação do provedor e conciliação; para caixa físico, movimento e contagem aprovados.</w:t>
            </w:r>
          </w:p>
        </w:tc>
        <w:tc>
          <w:tcPr>
            <w:tcW w:type="dxa" w:w="3528"/>
            <w:vAlign w:val="center"/>
            <w:shd w:fill="F3F5F6"/>
          </w:tcPr>
          <w:p>
            <w:pPr>
              <w:widowControl/>
              <w:spacing w:line="245" w:lineRule="auto" w:before="20" w:after="20"/>
            </w:pPr>
            <w:r>
              <w:rPr>
                <w:rFonts w:ascii="Arial" w:hAnsi="Arial"/>
                <w:sz w:val="19"/>
              </w:rPr>
              <w:t>Conta, titular, moeda e transação. Comprovante agendado não comprova débito efetivo.</w:t>
            </w:r>
          </w:p>
        </w:tc>
      </w:tr>
      <w:tr>
        <w:trPr>
          <w:cantSplit/>
        </w:trPr>
        <w:tc>
          <w:tcPr>
            <w:tcW w:type="dxa" w:w="2088"/>
            <w:vAlign w:val="center"/>
          </w:tcPr>
          <w:p>
            <w:pPr>
              <w:widowControl/>
              <w:spacing w:line="245" w:lineRule="auto" w:before="20" w:after="20"/>
            </w:pPr>
            <w:r>
              <w:rPr>
                <w:rFonts w:ascii="Arial" w:hAnsi="Arial"/>
                <w:sz w:val="19"/>
              </w:rPr>
              <w:t>Compromisso</w:t>
            </w:r>
          </w:p>
        </w:tc>
        <w:tc>
          <w:tcPr>
            <w:tcW w:type="dxa" w:w="4464"/>
            <w:vAlign w:val="center"/>
          </w:tcPr>
          <w:p>
            <w:pPr>
              <w:widowControl/>
              <w:spacing w:line="245" w:lineRule="auto" w:before="20" w:after="20"/>
            </w:pPr>
            <w:r>
              <w:rPr>
                <w:rFonts w:ascii="Arial" w:hAnsi="Arial"/>
                <w:sz w:val="19"/>
              </w:rPr>
              <w:t>Contrato e pedido firme aprovados, itens, aditivos, cancelamentos e condições de pagamento.</w:t>
            </w:r>
          </w:p>
        </w:tc>
        <w:tc>
          <w:tcPr>
            <w:tcW w:type="dxa" w:w="3528"/>
            <w:vAlign w:val="center"/>
          </w:tcPr>
          <w:p>
            <w:pPr>
              <w:widowControl/>
              <w:spacing w:line="245" w:lineRule="auto" w:before="20" w:after="20"/>
            </w:pPr>
            <w:r>
              <w:rPr>
                <w:rFonts w:ascii="Arial" w:hAnsi="Arial"/>
                <w:sz w:val="19"/>
              </w:rPr>
              <w:t>Escopo, obra, EAP e cobertura. Limite de contrato guarda-chuva não é compra integralmente assumida.</w:t>
            </w:r>
          </w:p>
        </w:tc>
      </w:tr>
      <w:tr>
        <w:trPr>
          <w:cantSplit/>
        </w:trPr>
        <w:tc>
          <w:tcPr>
            <w:tcW w:type="dxa" w:w="2088"/>
            <w:vAlign w:val="center"/>
            <w:shd w:fill="F3F5F6"/>
          </w:tcPr>
          <w:p>
            <w:pPr>
              <w:widowControl/>
              <w:spacing w:line="245" w:lineRule="auto" w:before="20" w:after="20"/>
            </w:pPr>
            <w:r>
              <w:rPr>
                <w:rFonts w:ascii="Arial" w:hAnsi="Arial"/>
                <w:sz w:val="19"/>
              </w:rPr>
              <w:t>Orçamento</w:t>
            </w:r>
          </w:p>
        </w:tc>
        <w:tc>
          <w:tcPr>
            <w:tcW w:type="dxa" w:w="4464"/>
            <w:vAlign w:val="center"/>
            <w:shd w:fill="F3F5F6"/>
          </w:tcPr>
          <w:p>
            <w:pPr>
              <w:widowControl/>
              <w:spacing w:line="245" w:lineRule="auto" w:before="20" w:after="20"/>
            </w:pPr>
            <w:r>
              <w:rPr>
                <w:rFonts w:ascii="Arial" w:hAnsi="Arial"/>
                <w:sz w:val="19"/>
              </w:rPr>
              <w:t>Versão aprovada, com base de preços, escopo, quantidades e totais verificados.</w:t>
            </w:r>
          </w:p>
        </w:tc>
        <w:tc>
          <w:tcPr>
            <w:tcW w:type="dxa" w:w="3528"/>
            <w:vAlign w:val="center"/>
            <w:shd w:fill="F3F5F6"/>
          </w:tcPr>
          <w:p>
            <w:pPr>
              <w:widowControl/>
              <w:spacing w:line="245" w:lineRule="auto" w:before="20" w:after="20"/>
            </w:pPr>
            <w:r>
              <w:rPr>
                <w:rFonts w:ascii="Arial" w:hAnsi="Arial"/>
                <w:sz w:val="19"/>
              </w:rPr>
              <w:t>EAP vigente e aprovação. Orçamento original, vigente e previsão final são objetos distintos.</w:t>
            </w:r>
          </w:p>
        </w:tc>
      </w:tr>
      <w:tr>
        <w:trPr>
          <w:cantSplit/>
        </w:trPr>
        <w:tc>
          <w:tcPr>
            <w:tcW w:type="dxa" w:w="2088"/>
            <w:vAlign w:val="center"/>
          </w:tcPr>
          <w:p>
            <w:pPr>
              <w:widowControl/>
              <w:spacing w:line="245" w:lineRule="auto" w:before="20" w:after="20"/>
            </w:pPr>
            <w:r>
              <w:rPr>
                <w:rFonts w:ascii="Arial" w:hAnsi="Arial"/>
                <w:sz w:val="19"/>
              </w:rPr>
              <w:t>Previsão</w:t>
            </w:r>
          </w:p>
        </w:tc>
        <w:tc>
          <w:tcPr>
            <w:tcW w:type="dxa" w:w="4464"/>
            <w:vAlign w:val="center"/>
          </w:tcPr>
          <w:p>
            <w:pPr>
              <w:widowControl/>
              <w:spacing w:line="245" w:lineRule="auto" w:before="20" w:after="20"/>
            </w:pPr>
            <w:r>
              <w:rPr>
                <w:rFonts w:ascii="Arial" w:hAnsi="Arial"/>
                <w:sz w:val="19"/>
              </w:rPr>
              <w:t>Estimativa aprovada até a conclusão, quantidades remanescentes, preços, cronograma e premissas.</w:t>
            </w:r>
          </w:p>
        </w:tc>
        <w:tc>
          <w:tcPr>
            <w:tcW w:type="dxa" w:w="3528"/>
            <w:vAlign w:val="center"/>
          </w:tcPr>
          <w:p>
            <w:pPr>
              <w:widowControl/>
              <w:spacing w:line="245" w:lineRule="auto" w:before="20" w:after="20"/>
            </w:pPr>
            <w:r>
              <w:rPr>
                <w:rFonts w:ascii="Arial" w:hAnsi="Arial"/>
                <w:sz w:val="19"/>
              </w:rPr>
              <w:t>Versão e cobertura por escopo. Não presumir que orçamento menos pago mede o que falta.</w:t>
            </w:r>
          </w:p>
        </w:tc>
      </w:tr>
      <w:tr>
        <w:trPr>
          <w:cantSplit/>
        </w:trPr>
        <w:tc>
          <w:tcPr>
            <w:tcW w:type="dxa" w:w="2088"/>
            <w:vAlign w:val="center"/>
            <w:shd w:fill="F3F5F6"/>
          </w:tcPr>
          <w:p>
            <w:pPr>
              <w:widowControl/>
              <w:spacing w:line="245" w:lineRule="auto" w:before="20" w:after="20"/>
            </w:pPr>
            <w:r>
              <w:rPr>
                <w:rFonts w:ascii="Arial" w:hAnsi="Arial"/>
                <w:sz w:val="19"/>
              </w:rPr>
              <w:t>Recebível</w:t>
            </w:r>
          </w:p>
        </w:tc>
        <w:tc>
          <w:tcPr>
            <w:tcW w:type="dxa" w:w="4464"/>
            <w:vAlign w:val="center"/>
            <w:shd w:fill="F3F5F6"/>
          </w:tcPr>
          <w:p>
            <w:pPr>
              <w:widowControl/>
              <w:spacing w:line="245" w:lineRule="auto" w:before="20" w:after="20"/>
            </w:pPr>
            <w:r>
              <w:rPr>
                <w:rFonts w:ascii="Arial" w:hAnsi="Arial"/>
                <w:sz w:val="19"/>
              </w:rPr>
              <w:t>Contrato de venda, unidade, cliente, parcelas, aditivos, distratos e liquidações.</w:t>
            </w:r>
          </w:p>
        </w:tc>
        <w:tc>
          <w:tcPr>
            <w:tcW w:type="dxa" w:w="3528"/>
            <w:vAlign w:val="center"/>
            <w:shd w:fill="F3F5F6"/>
          </w:tcPr>
          <w:p>
            <w:pPr>
              <w:widowControl/>
              <w:spacing w:line="245" w:lineRule="auto" w:before="20" w:after="20"/>
            </w:pPr>
            <w:r>
              <w:rPr>
                <w:rFonts w:ascii="Arial" w:hAnsi="Arial"/>
                <w:sz w:val="19"/>
              </w:rPr>
              <w:t>Direito contratual e obrigação de desempenho devem ser distinguidos. Banco comprova entrada; não define sozinho receita.</w:t>
            </w:r>
          </w:p>
        </w:tc>
      </w:tr>
      <w:tr>
        <w:trPr>
          <w:cantSplit/>
        </w:trPr>
        <w:tc>
          <w:tcPr>
            <w:tcW w:type="dxa" w:w="2088"/>
            <w:vAlign w:val="center"/>
          </w:tcPr>
          <w:p>
            <w:pPr>
              <w:widowControl/>
              <w:spacing w:line="245" w:lineRule="auto" w:before="20" w:after="20"/>
            </w:pPr>
            <w:r>
              <w:rPr>
                <w:rFonts w:ascii="Arial" w:hAnsi="Arial"/>
                <w:sz w:val="19"/>
              </w:rPr>
              <w:t>Relatório derivado</w:t>
            </w:r>
          </w:p>
        </w:tc>
        <w:tc>
          <w:tcPr>
            <w:tcW w:type="dxa" w:w="4464"/>
            <w:vAlign w:val="center"/>
          </w:tcPr>
          <w:p>
            <w:pPr>
              <w:widowControl/>
              <w:spacing w:line="245" w:lineRule="auto" w:before="20" w:after="20"/>
            </w:pPr>
            <w:r>
              <w:rPr>
                <w:rFonts w:ascii="Arial" w:hAnsi="Arial"/>
                <w:sz w:val="19"/>
              </w:rPr>
              <w:t>Planilha de conversão e PDF reconciliados com a origem.</w:t>
            </w:r>
          </w:p>
        </w:tc>
        <w:tc>
          <w:tcPr>
            <w:tcW w:type="dxa" w:w="3528"/>
            <w:vAlign w:val="center"/>
          </w:tcPr>
          <w:p>
            <w:pPr>
              <w:widowControl/>
              <w:spacing w:line="245" w:lineRule="auto" w:before="20" w:after="20"/>
            </w:pPr>
            <w:r>
              <w:rPr>
                <w:rFonts w:ascii="Arial" w:hAnsi="Arial"/>
                <w:sz w:val="19"/>
              </w:rPr>
              <w:t>Evidência auxiliar. Preservar arquivo, aba, linha, regras de transformação e divergências.</w:t>
            </w:r>
          </w:p>
        </w:tc>
      </w:tr>
      <w:tr>
        <w:trPr>
          <w:cantSplit/>
        </w:trPr>
        <w:tc>
          <w:tcPr>
            <w:tcW w:type="dxa" w:w="2088"/>
            <w:vAlign w:val="center"/>
            <w:shd w:fill="F3F5F6"/>
          </w:tcPr>
          <w:p>
            <w:pPr>
              <w:widowControl/>
              <w:spacing w:line="245" w:lineRule="auto" w:before="20" w:after="20"/>
            </w:pPr>
            <w:r>
              <w:rPr>
                <w:rFonts w:ascii="Arial" w:hAnsi="Arial"/>
                <w:sz w:val="19"/>
              </w:rPr>
              <w:t>Financiamento e partes relacionadas</w:t>
            </w:r>
          </w:p>
        </w:tc>
        <w:tc>
          <w:tcPr>
            <w:tcW w:type="dxa" w:w="4464"/>
            <w:vAlign w:val="center"/>
            <w:shd w:fill="F3F5F6"/>
          </w:tcPr>
          <w:p>
            <w:pPr>
              <w:widowControl/>
              <w:spacing w:line="245" w:lineRule="auto" w:before="20" w:after="20"/>
            </w:pPr>
            <w:r>
              <w:rPr>
                <w:rFonts w:ascii="Arial" w:hAnsi="Arial"/>
                <w:sz w:val="19"/>
              </w:rPr>
              <w:t>Contratos de dívida, aportes, extratos, cronograma e documentos de operações entre entidades.</w:t>
            </w:r>
          </w:p>
        </w:tc>
        <w:tc>
          <w:tcPr>
            <w:tcW w:type="dxa" w:w="3528"/>
            <w:vAlign w:val="center"/>
            <w:shd w:fill="F3F5F6"/>
          </w:tcPr>
          <w:p>
            <w:pPr>
              <w:widowControl/>
              <w:spacing w:line="245" w:lineRule="auto" w:before="20" w:after="20"/>
            </w:pPr>
            <w:r>
              <w:rPr>
                <w:rFonts w:ascii="Arial" w:hAnsi="Arial"/>
                <w:sz w:val="19"/>
              </w:rPr>
              <w:t>Separar principal, encargos e participação societária. Não tratar entrada de recursos como receita de venda nem principal amortizado como custo.</w:t>
            </w:r>
          </w:p>
        </w:tc>
      </w:tr>
    </w:tbl>
    <w:p>
      <w:pPr>
        <w:spacing w:after="40" w:before="0" w:line="96" w:lineRule="auto"/>
      </w:pPr>
      <w:r>
        <w:rPr>
          <w:sz w:val="4"/>
        </w:rPr>
      </w:r>
    </w:p>
    <w:p>
      <w:r>
        <w:rPr>
          <w:b w:val="0"/>
        </w:rPr>
        <w:t>Chaves externas, arquivos originais, hashes, filtros, paginação, data de extração e cobertura devem acompanhar cada carga. Ausência em uma listagem posterior não significa cancelamento. Totais de cabeçalho precisam ser comparados com linhas sob a mesma definição de principal, bruto, líquido, descontos e encargos. [S1; S2]</w:t>
      </w:r>
    </w:p>
    <w:p>
      <w:r>
        <w:rPr>
          <w:b w:val="0"/>
        </w:rPr>
        <w:t>Na fonte F011, Titulos_Koper!A4:W4 contém ID Koper, parcela, valor, vencimento, status, baixa declarada e evidências dos centros. Faltam campos próprios de emissão, competência, eventos individuais de liquidação e conciliação, contrato/item e rateio monetário. Há 242 títulos com múltiplos serviços concatenados numa célula, sem valor ou percentual por centro; isso não comprova 242 rateios concluídos. Uma única data/valor de pagamento não reconstrói pagamentos parciais sucessivos. [S3]</w:t>
      </w:r>
    </w:p>
    <w:p>
      <w:pPr>
        <w:pStyle w:val="Heading1"/>
        <w:keepNext/>
      </w:pPr>
      <w:r>
        <w:rPr>
          <w:b w:val="0"/>
        </w:rPr>
        <w:t>3 Datas e reprodução da posição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95" w:type="dxa"/>
          <w:bottom w:w="95" w:type="dxa"/>
          <w:right w:w="95" w:type="dxa"/>
        </w:tblCellMar>
      </w:tblPr>
      <w:tblGrid>
        <w:gridCol w:w="2088"/>
        <w:gridCol w:w="4896"/>
        <w:gridCol w:w="3096"/>
      </w:tblGrid>
      <w:tr>
        <w:trPr>
          <w:cantSplit/>
          <w:tblHeader/>
        </w:trPr>
        <w:tc>
          <w:tcPr>
            <w:tcW w:type="dxa" w:w="2088"/>
            <w:vAlign w:val="center"/>
            <w:shd w:fill="203F50"/>
          </w:tcPr>
          <w:p>
            <w:pPr>
              <w:widowControl/>
              <w:spacing w:line="245" w:lineRule="auto" w:before="20" w:after="20"/>
            </w:pPr>
            <w:r>
              <w:rPr>
                <w:rFonts w:ascii="Arial" w:hAnsi="Arial"/>
                <w:b/>
                <w:color w:val="FFFFFF"/>
                <w:sz w:val="19"/>
              </w:rPr>
              <w:t>Data</w:t>
            </w:r>
          </w:p>
        </w:tc>
        <w:tc>
          <w:tcPr>
            <w:tcW w:type="dxa" w:w="4896"/>
            <w:vAlign w:val="center"/>
            <w:shd w:fill="203F50"/>
          </w:tcPr>
          <w:p>
            <w:pPr>
              <w:widowControl/>
              <w:spacing w:line="245" w:lineRule="auto" w:before="20" w:after="20"/>
            </w:pPr>
            <w:r>
              <w:rPr>
                <w:rFonts w:ascii="Arial" w:hAnsi="Arial"/>
                <w:b/>
                <w:color w:val="FFFFFF"/>
                <w:sz w:val="19"/>
              </w:rPr>
              <w:t>Significado</w:t>
            </w:r>
          </w:p>
        </w:tc>
        <w:tc>
          <w:tcPr>
            <w:tcW w:type="dxa" w:w="3096"/>
            <w:vAlign w:val="center"/>
            <w:shd w:fill="203F50"/>
          </w:tcPr>
          <w:p>
            <w:pPr>
              <w:widowControl/>
              <w:spacing w:line="245" w:lineRule="auto" w:before="20" w:after="20"/>
            </w:pPr>
            <w:r>
              <w:rPr>
                <w:rFonts w:ascii="Arial" w:hAnsi="Arial"/>
                <w:b/>
                <w:color w:val="FFFFFF"/>
                <w:sz w:val="19"/>
              </w:rPr>
              <w:t>Aplicação</w:t>
            </w:r>
          </w:p>
        </w:tc>
      </w:tr>
      <w:tr>
        <w:trPr>
          <w:cantSplit/>
        </w:trPr>
        <w:tc>
          <w:tcPr>
            <w:tcW w:type="dxa" w:w="2088"/>
            <w:vAlign w:val="center"/>
          </w:tcPr>
          <w:p>
            <w:pPr>
              <w:widowControl/>
              <w:spacing w:line="245" w:lineRule="auto" w:before="20" w:after="20"/>
            </w:pPr>
            <w:r>
              <w:rPr>
                <w:rFonts w:ascii="Arial" w:hAnsi="Arial"/>
                <w:sz w:val="19"/>
              </w:rPr>
              <w:t>Emissão</w:t>
            </w:r>
          </w:p>
        </w:tc>
        <w:tc>
          <w:tcPr>
            <w:tcW w:type="dxa" w:w="4896"/>
            <w:vAlign w:val="center"/>
          </w:tcPr>
          <w:p>
            <w:pPr>
              <w:widowControl/>
              <w:spacing w:line="245" w:lineRule="auto" w:before="20" w:after="20"/>
            </w:pPr>
            <w:r>
              <w:rPr>
                <w:rFonts w:ascii="Arial" w:hAnsi="Arial"/>
                <w:sz w:val="19"/>
              </w:rPr>
              <w:t>Quando o documento foi emitido.</w:t>
            </w:r>
          </w:p>
        </w:tc>
        <w:tc>
          <w:tcPr>
            <w:tcW w:type="dxa" w:w="3096"/>
            <w:vAlign w:val="center"/>
          </w:tcPr>
          <w:p>
            <w:pPr>
              <w:widowControl/>
              <w:spacing w:line="245" w:lineRule="auto" w:before="20" w:after="20"/>
            </w:pPr>
            <w:r>
              <w:rPr>
                <w:rFonts w:ascii="Arial" w:hAnsi="Arial"/>
                <w:sz w:val="19"/>
              </w:rPr>
              <w:t>Auditoria documental. A emissão de um relatório é metadado de extração, não emissão de todas as notas nele listadas.</w:t>
            </w:r>
          </w:p>
        </w:tc>
      </w:tr>
      <w:tr>
        <w:trPr>
          <w:cantSplit/>
        </w:trPr>
        <w:tc>
          <w:tcPr>
            <w:tcW w:type="dxa" w:w="2088"/>
            <w:vAlign w:val="center"/>
            <w:shd w:fill="F3F5F6"/>
          </w:tcPr>
          <w:p>
            <w:pPr>
              <w:widowControl/>
              <w:spacing w:line="245" w:lineRule="auto" w:before="20" w:after="20"/>
            </w:pPr>
            <w:r>
              <w:rPr>
                <w:rFonts w:ascii="Arial" w:hAnsi="Arial"/>
                <w:sz w:val="19"/>
              </w:rPr>
              <w:t>Competência</w:t>
            </w:r>
          </w:p>
        </w:tc>
        <w:tc>
          <w:tcPr>
            <w:tcW w:type="dxa" w:w="4896"/>
            <w:vAlign w:val="center"/>
            <w:shd w:fill="F3F5F6"/>
          </w:tcPr>
          <w:p>
            <w:pPr>
              <w:widowControl/>
              <w:spacing w:line="245" w:lineRule="auto" w:before="20" w:after="20"/>
            </w:pPr>
            <w:r>
              <w:rPr>
                <w:rFonts w:ascii="Arial" w:hAnsi="Arial"/>
                <w:sz w:val="19"/>
              </w:rPr>
              <w:t>Período em que o efeito econômico é reconhecido segundo política aprovada.</w:t>
            </w:r>
          </w:p>
        </w:tc>
        <w:tc>
          <w:tcPr>
            <w:tcW w:type="dxa" w:w="3096"/>
            <w:vAlign w:val="center"/>
            <w:shd w:fill="F3F5F6"/>
          </w:tcPr>
          <w:p>
            <w:pPr>
              <w:widowControl/>
              <w:spacing w:line="245" w:lineRule="auto" w:before="20" w:after="20"/>
            </w:pPr>
            <w:r>
              <w:rPr>
                <w:rFonts w:ascii="Arial" w:hAnsi="Arial"/>
                <w:sz w:val="19"/>
              </w:rPr>
              <w:t>Custo e resultado. Não copiar automaticamente emissão, vencimento ou pagamento.</w:t>
            </w:r>
          </w:p>
        </w:tc>
      </w:tr>
      <w:tr>
        <w:trPr>
          <w:cantSplit/>
        </w:trPr>
        <w:tc>
          <w:tcPr>
            <w:tcW w:type="dxa" w:w="2088"/>
            <w:vAlign w:val="center"/>
          </w:tcPr>
          <w:p>
            <w:pPr>
              <w:widowControl/>
              <w:spacing w:line="245" w:lineRule="auto" w:before="20" w:after="20"/>
            </w:pPr>
            <w:r>
              <w:rPr>
                <w:rFonts w:ascii="Arial" w:hAnsi="Arial"/>
                <w:sz w:val="19"/>
              </w:rPr>
              <w:t>Vencimento</w:t>
            </w:r>
          </w:p>
        </w:tc>
        <w:tc>
          <w:tcPr>
            <w:tcW w:type="dxa" w:w="4896"/>
            <w:vAlign w:val="center"/>
          </w:tcPr>
          <w:p>
            <w:pPr>
              <w:widowControl/>
              <w:spacing w:line="245" w:lineRule="auto" w:before="20" w:after="20"/>
            </w:pPr>
            <w:r>
              <w:rPr>
                <w:rFonts w:ascii="Arial" w:hAnsi="Arial"/>
                <w:sz w:val="19"/>
              </w:rPr>
              <w:t>Data de exigibilidade da obrigação ou direito.</w:t>
            </w:r>
          </w:p>
        </w:tc>
        <w:tc>
          <w:tcPr>
            <w:tcW w:type="dxa" w:w="3096"/>
            <w:vAlign w:val="center"/>
          </w:tcPr>
          <w:p>
            <w:pPr>
              <w:widowControl/>
              <w:spacing w:line="245" w:lineRule="auto" w:before="20" w:after="20"/>
            </w:pPr>
            <w:r>
              <w:rPr>
                <w:rFonts w:ascii="Arial" w:hAnsi="Arial"/>
                <w:sz w:val="19"/>
              </w:rPr>
              <w:t>Atraso e agenda contratual. Guardar data original, vigente e motivo da alteração.</w:t>
            </w:r>
          </w:p>
        </w:tc>
      </w:tr>
      <w:tr>
        <w:trPr>
          <w:cantSplit/>
        </w:trPr>
        <w:tc>
          <w:tcPr>
            <w:tcW w:type="dxa" w:w="2088"/>
            <w:vAlign w:val="center"/>
            <w:shd w:fill="F3F5F6"/>
          </w:tcPr>
          <w:p>
            <w:pPr>
              <w:widowControl/>
              <w:spacing w:line="245" w:lineRule="auto" w:before="20" w:after="20"/>
            </w:pPr>
            <w:r>
              <w:rPr>
                <w:rFonts w:ascii="Arial" w:hAnsi="Arial"/>
                <w:sz w:val="19"/>
              </w:rPr>
              <w:t>Pagamento ou recebimento</w:t>
            </w:r>
          </w:p>
        </w:tc>
        <w:tc>
          <w:tcPr>
            <w:tcW w:type="dxa" w:w="4896"/>
            <w:vAlign w:val="center"/>
            <w:shd w:fill="F3F5F6"/>
          </w:tcPr>
          <w:p>
            <w:pPr>
              <w:widowControl/>
              <w:spacing w:line="245" w:lineRule="auto" w:before="20" w:after="20"/>
            </w:pPr>
            <w:r>
              <w:rPr>
                <w:rFonts w:ascii="Arial" w:hAnsi="Arial"/>
                <w:sz w:val="19"/>
              </w:rPr>
              <w:t>Quando a liquidação em dinheiro foi efetivada.</w:t>
            </w:r>
          </w:p>
        </w:tc>
        <w:tc>
          <w:tcPr>
            <w:tcW w:type="dxa" w:w="3096"/>
            <w:vAlign w:val="center"/>
            <w:shd w:fill="F3F5F6"/>
          </w:tcPr>
          <w:p>
            <w:pPr>
              <w:widowControl/>
              <w:spacing w:line="245" w:lineRule="auto" w:before="20" w:after="20"/>
            </w:pPr>
            <w:r>
              <w:rPr>
                <w:rFonts w:ascii="Arial" w:hAnsi="Arial"/>
                <w:sz w:val="19"/>
              </w:rPr>
              <w:t>Fluxo realizado. Solicitação, aprovação, agendamento e emissão de cheque ficam em estados próprios.</w:t>
            </w:r>
          </w:p>
        </w:tc>
      </w:tr>
      <w:tr>
        <w:trPr>
          <w:cantSplit/>
        </w:trPr>
        <w:tc>
          <w:tcPr>
            <w:tcW w:type="dxa" w:w="2088"/>
            <w:vAlign w:val="center"/>
          </w:tcPr>
          <w:p>
            <w:pPr>
              <w:widowControl/>
              <w:spacing w:line="245" w:lineRule="auto" w:before="20" w:after="20"/>
            </w:pPr>
            <w:r>
              <w:rPr>
                <w:rFonts w:ascii="Arial" w:hAnsi="Arial"/>
                <w:sz w:val="19"/>
              </w:rPr>
              <w:t>Movimento bancário</w:t>
            </w:r>
          </w:p>
        </w:tc>
        <w:tc>
          <w:tcPr>
            <w:tcW w:type="dxa" w:w="4896"/>
            <w:vAlign w:val="center"/>
          </w:tcPr>
          <w:p>
            <w:pPr>
              <w:widowControl/>
              <w:spacing w:line="245" w:lineRule="auto" w:before="20" w:after="20"/>
            </w:pPr>
            <w:r>
              <w:rPr>
                <w:rFonts w:ascii="Arial" w:hAnsi="Arial"/>
                <w:sz w:val="19"/>
              </w:rPr>
              <w:t>Data em que o banco registra o débito ou crédito; preservar também data-valor, quando fornecida.</w:t>
            </w:r>
          </w:p>
        </w:tc>
        <w:tc>
          <w:tcPr>
            <w:tcW w:type="dxa" w:w="3096"/>
            <w:vAlign w:val="center"/>
          </w:tcPr>
          <w:p>
            <w:pPr>
              <w:widowControl/>
              <w:spacing w:line="245" w:lineRule="auto" w:before="20" w:after="20"/>
            </w:pPr>
            <w:r>
              <w:rPr>
                <w:rFonts w:ascii="Arial" w:hAnsi="Arial"/>
                <w:sz w:val="19"/>
              </w:rPr>
              <w:t>Conciliação e saldo por conta. Explicar diferenças temporais em relação ao evento financeiro.</w:t>
            </w:r>
          </w:p>
        </w:tc>
      </w:tr>
      <w:tr>
        <w:trPr>
          <w:cantSplit/>
        </w:trPr>
        <w:tc>
          <w:tcPr>
            <w:tcW w:type="dxa" w:w="2088"/>
            <w:vAlign w:val="center"/>
            <w:shd w:fill="F3F5F6"/>
          </w:tcPr>
          <w:p>
            <w:pPr>
              <w:widowControl/>
              <w:spacing w:line="245" w:lineRule="auto" w:before="20" w:after="20"/>
            </w:pPr>
            <w:r>
              <w:rPr>
                <w:rFonts w:ascii="Arial" w:hAnsi="Arial"/>
                <w:sz w:val="19"/>
              </w:rPr>
              <w:t>Conciliação</w:t>
            </w:r>
          </w:p>
        </w:tc>
        <w:tc>
          <w:tcPr>
            <w:tcW w:type="dxa" w:w="4896"/>
            <w:vAlign w:val="center"/>
            <w:shd w:fill="F3F5F6"/>
          </w:tcPr>
          <w:p>
            <w:pPr>
              <w:widowControl/>
              <w:spacing w:line="245" w:lineRule="auto" w:before="20" w:after="20"/>
            </w:pPr>
            <w:r>
              <w:rPr>
                <w:rFonts w:ascii="Arial" w:hAnsi="Arial"/>
                <w:sz w:val="19"/>
              </w:rPr>
              <w:t>Quando, por quem e contra qual extrato o vínculo foi confirmado.</w:t>
            </w:r>
          </w:p>
        </w:tc>
        <w:tc>
          <w:tcPr>
            <w:tcW w:type="dxa" w:w="3096"/>
            <w:vAlign w:val="center"/>
            <w:shd w:fill="F3F5F6"/>
          </w:tcPr>
          <w:p>
            <w:pPr>
              <w:widowControl/>
              <w:spacing w:line="245" w:lineRule="auto" w:before="20" w:after="20"/>
            </w:pPr>
            <w:r>
              <w:rPr>
                <w:rFonts w:ascii="Arial" w:hAnsi="Arial"/>
                <w:sz w:val="19"/>
              </w:rPr>
              <w:t>Evidência de conferência. Não cria outro pagamento nem altera sua data efetiva.</w:t>
            </w:r>
          </w:p>
        </w:tc>
      </w:tr>
      <w:tr>
        <w:trPr>
          <w:cantSplit/>
        </w:trPr>
        <w:tc>
          <w:tcPr>
            <w:tcW w:type="dxa" w:w="2088"/>
            <w:vAlign w:val="center"/>
          </w:tcPr>
          <w:p>
            <w:pPr>
              <w:widowControl/>
              <w:spacing w:line="245" w:lineRule="auto" w:before="20" w:after="20"/>
            </w:pPr>
            <w:r>
              <w:rPr>
                <w:rFonts w:ascii="Arial" w:hAnsi="Arial"/>
                <w:sz w:val="19"/>
              </w:rPr>
              <w:t>Registro e extração</w:t>
            </w:r>
          </w:p>
        </w:tc>
        <w:tc>
          <w:tcPr>
            <w:tcW w:type="dxa" w:w="4896"/>
            <w:vAlign w:val="center"/>
          </w:tcPr>
          <w:p>
            <w:pPr>
              <w:widowControl/>
              <w:spacing w:line="245" w:lineRule="auto" w:before="20" w:after="20"/>
            </w:pPr>
            <w:r>
              <w:rPr>
                <w:rFonts w:ascii="Arial" w:hAnsi="Arial"/>
                <w:sz w:val="19"/>
              </w:rPr>
              <w:t>Quando o Elos recebeu o evento e quando a fonte foi extraída.</w:t>
            </w:r>
          </w:p>
        </w:tc>
        <w:tc>
          <w:tcPr>
            <w:tcW w:type="dxa" w:w="3096"/>
            <w:vAlign w:val="center"/>
          </w:tcPr>
          <w:p>
            <w:pPr>
              <w:widowControl/>
              <w:spacing w:line="245" w:lineRule="auto" w:before="20" w:after="20"/>
            </w:pPr>
            <w:r>
              <w:rPr>
                <w:rFonts w:ascii="Arial" w:hAnsi="Arial"/>
                <w:sz w:val="19"/>
              </w:rPr>
              <w:t>Reprodução histórica e avaliação de atualização. Não substituir datas do negócio.</w:t>
            </w:r>
          </w:p>
        </w:tc>
      </w:tr>
    </w:tbl>
    <w:p>
      <w:pPr>
        <w:spacing w:after="40" w:before="0" w:line="96" w:lineRule="auto"/>
      </w:pPr>
      <w:r>
        <w:rPr>
          <w:sz w:val="4"/>
        </w:rPr>
      </w:r>
    </w:p>
    <w:p>
      <w:r>
        <w:rPr>
          <w:b w:val="0"/>
        </w:rPr>
        <w:t>Toda consulta deve fixar T, a data efetiva de corte, e K, a versão ou instante de conhecimento. Um relatório fechado usa os eventos efetivos até T que integravam a versão K. Uma reapresentação conserva T, usa uma nova versão K e identifica as diferenças. O fuso proposto é America/Sao_Paulo; a regra de encerramento do dia e o calendário de vencimentos dependem de D02.</w:t>
      </w:r>
    </w:p>
    <w:p>
      <w:r>
        <w:rPr>
          <w:b w:val="0"/>
        </w:rPr>
        <w:t>Convenção proposta para o caixa por conta: usar a data de movimento que compõe o extrato, preservando a data de execução e a data-valor em campos separados. Divergências temporais aparecem em trânsito, sem reclassificar competência. Para caixa físico, usar o movimento validado. D06 pode aprovar convenção alternativa, desde que aplicada uniformemente e reconciliada ao saldo externo.</w:t>
      </w:r>
    </w:p>
    <w:p>
      <w:r>
        <w:rPr>
          <w:b w:val="0"/>
        </w:rPr>
        <w:t>Exemplo: serviço executado em setembro, nota emitida em 05/10, vencimento em 20/10, pagamento em 22/10 e conciliação em 24/10. Pela política econômica aplicável, o custo pode pertencer a setembro. No corte de 21/10, a obrigação ainda está aberta e vencida. O caixa pertence a 22/10; 24/10 identifica a conferência. Se o evento só foi registrado depois, a posição originalmente fechada e a reapresentada permanecem distinguíveis. [N1]</w:t>
      </w:r>
    </w:p>
    <w:p>
      <w:pPr>
        <w:pStyle w:val="Heading1"/>
      </w:pPr>
      <w:r>
        <w:rPr>
          <w:b w:val="0"/>
        </w:rPr>
        <w:t>4 Identidade e vínculos obrigatórios</w:t>
      </w:r>
    </w:p>
    <w:p>
      <w:r>
        <w:rPr>
          <w:b w:val="0"/>
        </w:rPr>
        <w:t>Cada evento deve ter ID interno imutável, organização, entidade legal responsável, moeda, natureza, data efetiva, registro, origem e versão. Obra, EAP, contraparte, documento, parcela e contrato devem ser informados quando aplicáveis; se faltarem, a pendência é explícita. Uma organização de acesso pode conter vários CNPJs. CNPJ, obra e conta bancária são dimensões independentes.</w:t>
      </w:r>
    </w:p>
    <w:p>
      <w:pPr>
        <w:keepNext/>
      </w:pPr>
      <w:r>
        <w:rPr>
          <w:b w:val="0"/>
        </w:rPr>
        <w:t>O número de documento, o nome do fornecedor, a data e o valor podem ajudar na pesquisa, mas não bastam isoladamente para afirmar identidade. A chave de importação deve incluir organização, origem, tipo do objeto e ID externo; parcela e item entram quando forem entidades distintas. Para registros sem ID, usar correspondência documentada, com colisões em revisão. Nunca fundir automaticamente por semelhança de descrição.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95" w:type="dxa"/>
          <w:bottom w:w="95" w:type="dxa"/>
          <w:right w:w="95" w:type="dxa"/>
        </w:tblCellMar>
      </w:tblPr>
      <w:tblGrid>
        <w:gridCol w:w="3024"/>
        <w:gridCol w:w="7056"/>
      </w:tblGrid>
      <w:tr>
        <w:trPr>
          <w:cantSplit/>
          <w:tblHeader/>
        </w:trPr>
        <w:tc>
          <w:tcPr>
            <w:tcW w:type="dxa" w:w="3024"/>
            <w:vAlign w:val="center"/>
            <w:shd w:fill="203F50"/>
          </w:tcPr>
          <w:p>
            <w:pPr>
              <w:widowControl/>
              <w:spacing w:line="245" w:lineRule="auto" w:before="20" w:after="20"/>
            </w:pPr>
            <w:r>
              <w:rPr>
                <w:rFonts w:ascii="Arial" w:hAnsi="Arial"/>
                <w:b/>
                <w:color w:val="FFFFFF"/>
                <w:sz w:val="19"/>
              </w:rPr>
              <w:t>Relação</w:t>
            </w:r>
          </w:p>
        </w:tc>
        <w:tc>
          <w:tcPr>
            <w:tcW w:type="dxa" w:w="7056"/>
            <w:vAlign w:val="center"/>
            <w:shd w:fill="203F50"/>
          </w:tcPr>
          <w:p>
            <w:pPr>
              <w:widowControl/>
              <w:spacing w:line="245" w:lineRule="auto" w:before="20" w:after="20"/>
            </w:pPr>
            <w:r>
              <w:rPr>
                <w:rFonts w:ascii="Arial" w:hAnsi="Arial"/>
                <w:b/>
                <w:color w:val="FFFFFF"/>
                <w:sz w:val="19"/>
              </w:rPr>
              <w:t>Regra de conservação</w:t>
            </w:r>
          </w:p>
        </w:tc>
      </w:tr>
      <w:tr>
        <w:trPr>
          <w:cantSplit/>
        </w:trPr>
        <w:tc>
          <w:tcPr>
            <w:tcW w:type="dxa" w:w="3024"/>
            <w:vAlign w:val="center"/>
          </w:tcPr>
          <w:p>
            <w:pPr>
              <w:widowControl/>
              <w:spacing w:line="245" w:lineRule="auto" w:before="20" w:after="20"/>
            </w:pPr>
            <w:r>
              <w:rPr>
                <w:rFonts w:ascii="Arial" w:hAnsi="Arial"/>
                <w:sz w:val="19"/>
              </w:rPr>
              <w:t>Contrato ou pedido para medição e documento</w:t>
            </w:r>
          </w:p>
        </w:tc>
        <w:tc>
          <w:tcPr>
            <w:tcW w:type="dxa" w:w="7056"/>
            <w:vAlign w:val="center"/>
          </w:tcPr>
          <w:p>
            <w:pPr>
              <w:widowControl/>
              <w:spacing w:line="245" w:lineRule="auto" w:before="20" w:after="20"/>
            </w:pPr>
            <w:r>
              <w:rPr>
                <w:rFonts w:ascii="Arial" w:hAnsi="Arial"/>
                <w:sz w:val="19"/>
              </w:rPr>
              <w:t>Um item pode alimentar várias medições e títulos; um título pode cobrir vários itens. Cada vínculo guarda valor, quantidade quando cabível, base e versão.</w:t>
            </w:r>
          </w:p>
        </w:tc>
      </w:tr>
      <w:tr>
        <w:trPr>
          <w:cantSplit/>
        </w:trPr>
        <w:tc>
          <w:tcPr>
            <w:tcW w:type="dxa" w:w="3024"/>
            <w:vAlign w:val="center"/>
            <w:shd w:fill="F3F5F6"/>
          </w:tcPr>
          <w:p>
            <w:pPr>
              <w:widowControl/>
              <w:spacing w:line="245" w:lineRule="auto" w:before="20" w:after="20"/>
            </w:pPr>
            <w:r>
              <w:rPr>
                <w:rFonts w:ascii="Arial" w:hAnsi="Arial"/>
                <w:sz w:val="19"/>
              </w:rPr>
              <w:t>Documento para títulos ou parcelas</w:t>
            </w:r>
          </w:p>
        </w:tc>
        <w:tc>
          <w:tcPr>
            <w:tcW w:type="dxa" w:w="7056"/>
            <w:vAlign w:val="center"/>
            <w:shd w:fill="F3F5F6"/>
          </w:tcPr>
          <w:p>
            <w:pPr>
              <w:widowControl/>
              <w:spacing w:line="245" w:lineRule="auto" w:before="20" w:after="20"/>
            </w:pPr>
            <w:r>
              <w:rPr>
                <w:rFonts w:ascii="Arial" w:hAnsi="Arial"/>
                <w:sz w:val="19"/>
              </w:rPr>
              <w:t>A soma das parcelas e componentes pagáveis deve reconciliar com o valor financeiro do documento. O cabeçalho bruto não é somado aos filhos.</w:t>
            </w:r>
          </w:p>
        </w:tc>
      </w:tr>
      <w:tr>
        <w:trPr>
          <w:cantSplit/>
        </w:trPr>
        <w:tc>
          <w:tcPr>
            <w:tcW w:type="dxa" w:w="3024"/>
            <w:vAlign w:val="center"/>
          </w:tcPr>
          <w:p>
            <w:pPr>
              <w:widowControl/>
              <w:spacing w:line="245" w:lineRule="auto" w:before="20" w:after="20"/>
            </w:pPr>
            <w:r>
              <w:rPr>
                <w:rFonts w:ascii="Arial" w:hAnsi="Arial"/>
                <w:sz w:val="19"/>
              </w:rPr>
              <w:t>Liquidação para títulos</w:t>
            </w:r>
          </w:p>
        </w:tc>
        <w:tc>
          <w:tcPr>
            <w:tcW w:type="dxa" w:w="7056"/>
            <w:vAlign w:val="center"/>
          </w:tcPr>
          <w:p>
            <w:pPr>
              <w:widowControl/>
              <w:spacing w:line="245" w:lineRule="auto" w:before="20" w:after="20"/>
            </w:pPr>
            <w:r>
              <w:rPr>
                <w:rFonts w:ascii="Arial" w:hAnsi="Arial"/>
                <w:sz w:val="19"/>
              </w:rPr>
              <w:t>Relação de muitos para muitos, com principal, juros, multa, desconto, compensação e demais componentes discriminados.</w:t>
            </w:r>
          </w:p>
        </w:tc>
      </w:tr>
      <w:tr>
        <w:trPr>
          <w:cantSplit/>
        </w:trPr>
        <w:tc>
          <w:tcPr>
            <w:tcW w:type="dxa" w:w="3024"/>
            <w:vAlign w:val="center"/>
            <w:shd w:fill="F3F5F6"/>
          </w:tcPr>
          <w:p>
            <w:pPr>
              <w:widowControl/>
              <w:spacing w:line="245" w:lineRule="auto" w:before="20" w:after="20"/>
            </w:pPr>
            <w:r>
              <w:rPr>
                <w:rFonts w:ascii="Arial" w:hAnsi="Arial"/>
                <w:sz w:val="19"/>
              </w:rPr>
              <w:t>Liquidação para banco</w:t>
            </w:r>
          </w:p>
        </w:tc>
        <w:tc>
          <w:tcPr>
            <w:tcW w:type="dxa" w:w="7056"/>
            <w:vAlign w:val="center"/>
            <w:shd w:fill="F3F5F6"/>
          </w:tcPr>
          <w:p>
            <w:pPr>
              <w:widowControl/>
              <w:spacing w:line="245" w:lineRule="auto" w:before="20" w:after="20"/>
            </w:pPr>
            <w:r>
              <w:rPr>
                <w:rFonts w:ascii="Arial" w:hAnsi="Arial"/>
                <w:sz w:val="19"/>
              </w:rPr>
              <w:t>Aceitar pagamentos agrupados, recebimentos líquidos, tarifas e várias linhas de extrato. A soma das alocações deve fechar com o movimento.</w:t>
            </w:r>
          </w:p>
        </w:tc>
      </w:tr>
      <w:tr>
        <w:trPr>
          <w:cantSplit/>
        </w:trPr>
        <w:tc>
          <w:tcPr>
            <w:tcW w:type="dxa" w:w="3024"/>
            <w:vAlign w:val="center"/>
          </w:tcPr>
          <w:p>
            <w:pPr>
              <w:widowControl/>
              <w:spacing w:line="245" w:lineRule="auto" w:before="20" w:after="20"/>
            </w:pPr>
            <w:r>
              <w:rPr>
                <w:rFonts w:ascii="Arial" w:hAnsi="Arial"/>
                <w:sz w:val="19"/>
              </w:rPr>
              <w:t>Adiantamento para aplicação</w:t>
            </w:r>
          </w:p>
        </w:tc>
        <w:tc>
          <w:tcPr>
            <w:tcW w:type="dxa" w:w="7056"/>
            <w:vAlign w:val="center"/>
          </w:tcPr>
          <w:p>
            <w:pPr>
              <w:widowControl/>
              <w:spacing w:line="245" w:lineRule="auto" w:before="20" w:after="20"/>
            </w:pPr>
            <w:r>
              <w:rPr>
                <w:rFonts w:ascii="Arial" w:hAnsi="Arial"/>
                <w:sz w:val="19"/>
              </w:rPr>
              <w:t>Cada aplicação aponta o adiantamento pago, o título ou medição beneficiado e o valor. Aplicar não gera novo desembolso.</w:t>
            </w:r>
          </w:p>
        </w:tc>
      </w:tr>
      <w:tr>
        <w:trPr>
          <w:cantSplit/>
        </w:trPr>
        <w:tc>
          <w:tcPr>
            <w:tcW w:type="dxa" w:w="3024"/>
            <w:vAlign w:val="center"/>
            <w:shd w:fill="F3F5F6"/>
          </w:tcPr>
          <w:p>
            <w:pPr>
              <w:widowControl/>
              <w:spacing w:line="245" w:lineRule="auto" w:before="20" w:after="20"/>
            </w:pPr>
            <w:r>
              <w:rPr>
                <w:rFonts w:ascii="Arial" w:hAnsi="Arial"/>
                <w:sz w:val="19"/>
              </w:rPr>
              <w:t>Origem para obra e EAP</w:t>
            </w:r>
          </w:p>
        </w:tc>
        <w:tc>
          <w:tcPr>
            <w:tcW w:type="dxa" w:w="7056"/>
            <w:vAlign w:val="center"/>
            <w:shd w:fill="F3F5F6"/>
          </w:tcPr>
          <w:p>
            <w:pPr>
              <w:widowControl/>
              <w:spacing w:line="245" w:lineRule="auto" w:before="20" w:after="20"/>
            </w:pPr>
            <w:r>
              <w:rPr>
                <w:rFonts w:ascii="Arial" w:hAnsi="Arial"/>
                <w:sz w:val="19"/>
              </w:rPr>
              <w:t>Rateios monetários preservam o valor do evento e sua versão. Listar vários centros sem valores não constitui rateio.</w:t>
            </w:r>
          </w:p>
        </w:tc>
      </w:tr>
      <w:tr>
        <w:trPr>
          <w:cantSplit/>
        </w:trPr>
        <w:tc>
          <w:tcPr>
            <w:tcW w:type="dxa" w:w="3024"/>
            <w:vAlign w:val="center"/>
          </w:tcPr>
          <w:p>
            <w:pPr>
              <w:widowControl/>
              <w:spacing w:line="245" w:lineRule="auto" w:before="20" w:after="20"/>
            </w:pPr>
            <w:r>
              <w:rPr>
                <w:rFonts w:ascii="Arial" w:hAnsi="Arial"/>
                <w:sz w:val="19"/>
              </w:rPr>
              <w:t>Previsão para escopo coberto</w:t>
            </w:r>
          </w:p>
        </w:tc>
        <w:tc>
          <w:tcPr>
            <w:tcW w:type="dxa" w:w="7056"/>
            <w:vAlign w:val="center"/>
          </w:tcPr>
          <w:p>
            <w:pPr>
              <w:widowControl/>
              <w:spacing w:line="245" w:lineRule="auto" w:before="20" w:after="20"/>
            </w:pPr>
            <w:r>
              <w:rPr>
                <w:rFonts w:ascii="Arial" w:hAnsi="Arial"/>
                <w:sz w:val="19"/>
              </w:rPr>
              <w:t>Cada parcela prevista identifica o serviço ou recurso que a obrigação ou o contrato passa a cobrir. A troca de camada preserva o total.</w:t>
            </w:r>
          </w:p>
        </w:tc>
      </w:tr>
      <w:tr>
        <w:trPr>
          <w:cantSplit/>
        </w:trPr>
        <w:tc>
          <w:tcPr>
            <w:tcW w:type="dxa" w:w="3024"/>
            <w:vAlign w:val="center"/>
            <w:shd w:fill="F3F5F6"/>
          </w:tcPr>
          <w:p>
            <w:pPr>
              <w:widowControl/>
              <w:spacing w:line="245" w:lineRule="auto" w:before="20" w:after="20"/>
            </w:pPr>
            <w:r>
              <w:rPr>
                <w:rFonts w:ascii="Arial" w:hAnsi="Arial"/>
                <w:sz w:val="19"/>
              </w:rPr>
              <w:t>Correção para evento anterior</w:t>
            </w:r>
          </w:p>
        </w:tc>
        <w:tc>
          <w:tcPr>
            <w:tcW w:type="dxa" w:w="7056"/>
            <w:vAlign w:val="center"/>
            <w:shd w:fill="F3F5F6"/>
          </w:tcPr>
          <w:p>
            <w:pPr>
              <w:widowControl/>
              <w:spacing w:line="245" w:lineRule="auto" w:before="20" w:after="20"/>
            </w:pPr>
            <w:r>
              <w:rPr>
                <w:rFonts w:ascii="Arial" w:hAnsi="Arial"/>
                <w:sz w:val="19"/>
              </w:rPr>
              <w:t>Estorno, cancelamento, substituição e renegociação referenciam o original e preservam o histórico.</w:t>
            </w:r>
          </w:p>
        </w:tc>
      </w:tr>
    </w:tbl>
    <w:p>
      <w:pPr>
        <w:spacing w:after="40" w:before="0" w:line="96" w:lineRule="auto"/>
      </w:pPr>
      <w:r>
        <w:rPr>
          <w:sz w:val="4"/>
        </w:rPr>
      </w:r>
    </w:p>
    <w:p>
      <w:r>
        <w:rPr>
          <w:b w:val="0"/>
        </w:rPr>
        <w:t>Reimportar a mesma fonte deve ser idempotente. Uma nova fotografia atualiza a versão do mesmo registro; não cria outra obrigação. Cancelados, títulos de valor zero e registros substituídos permanecem rastreáveis. A quantidade de linhas de um rateio pode ser maior que a quantidade de títulos, sem representar dívida adicional.</w:t>
      </w:r>
    </w:p>
    <w:p>
      <w:pPr>
        <w:pStyle w:val="Heading1"/>
      </w:pPr>
      <w:r>
        <w:rPr>
          <w:b w:val="0"/>
        </w:rPr>
        <w:t>5 Base monetária e saldos</w:t>
      </w:r>
    </w:p>
    <w:p>
      <w:r>
        <w:rPr>
          <w:b w:val="0"/>
        </w:rPr>
        <w:t>Como padrão gerencial a validar em D03, reconhecer serviços conforme execução aceita, materiais conforme consumo ou aplicação comprovados e despesas periódicas no período de benefício. Compras ainda em estoque e adiantamentos ficam separados do custo aplicado à obra. Folha segue a competência da prestação; equipamentos próprios seguem a política de alocação ou depreciação aprovada. O custo acumulado da obra é medida gerencial e não equivale automaticamente à despesa da demonstração de resultado. Execução comprovada ainda sem validação financeira gera pendência mensurável, sem ser tratada como custo ou obrigação inexistente.</w:t>
      </w:r>
    </w:p>
    <w:p>
      <w:r>
        <w:rPr>
          <w:b w:val="0"/>
        </w:rPr>
        <w:t>Principal, correção monetária, juros, multa, descontos, retenções, tributos, tarifas e compensações são componentes separados. Cada componente aparece uma vez no cálculo e tem natureza, moeda e fundamento. Usar decimais monetários; precisão e arredondamento por etapa devem ser aprovados. Valores ausentes permanecem ausentes.</w:t>
      </w:r>
    </w:p>
    <w:p>
      <w:pPr>
        <w:keepNext/>
        <w:spacing w:before="80" w:after="160"/>
      </w:pPr>
      <m:oMath>
        <m:r>
          <m:rPr>
            <m:sty m:val="p"/>
          </m:rPr>
          <m:t xml:space="preserve">Saldo = constituições + acréscimos - reduções - liquidações + reversões</m:t>
        </m:r>
      </m:oMath>
    </w:p>
    <w:p>
      <w:r>
        <w:rPr>
          <w:b w:val="0"/>
        </w:rPr>
        <w:t>A fórmula é aplicada por componente e por evento efetivo no corte. Desconto definitivo pode reduzir o saldo; desconto condicional só o reduz quando sua condição for cumprida. Principal pago não inclui automaticamente juros ou tarifa. Compensação de adiantamento extingue saldo sem novo caixa. Uma mesma redução não pode aparecer como desconto e liquidação adicional.</w:t>
      </w:r>
    </w:p>
    <w:p>
      <w:r>
        <w:rPr>
          <w:b w:val="0"/>
        </w:rPr>
        <w:t>Um saldo negativo não será convertido silenciosamente em zero. O excedente deve ser identificado como crédito, adiantamento, devolução ou erro, conforme evidência. As visões de saldos devidos e créditos ficam separadas. Juros ou correções projetados pertencem a cenários e não se misturam a encargos já constituídos.</w:t>
      </w:r>
    </w:p>
    <w:p>
      <w:r>
        <w:rPr>
          <w:b w:val="0"/>
        </w:rPr>
        <w:t>Toda política de correção deve explicitar cláusula, índice, série, mês-base, defasagem, periodicidade, tratamento de variação negativa, juros simples ou compostos, base de dias e momento do arredondamento. Índices publicados e hipóteses futuras ficam separados. Não transportar taxas de outra obra ou contrato. A configuração depende de D07.</w:t>
      </w:r>
    </w:p>
    <w:p>
      <w:pPr>
        <w:pStyle w:val="Heading1"/>
      </w:pPr>
      <w:r>
        <w:rPr>
          <w:b w:val="0"/>
        </w:rPr>
        <w:t>6 Dicionário dos indicadores</w:t>
      </w:r>
    </w:p>
    <w:p>
      <w:r>
        <w:rPr>
          <w:b w:val="0"/>
        </w:rPr>
        <w:t>Todos os indicadores abaixo são definidos por entidade, obra quando identificada, moeda, T e K. O relatório deve exibir filtros, definição, fonte e condição de completude. Para saldos e projeções, um período de consulta por vencimento não pode excluir dívidas anteriores que continuem abertas. Os códigos I01 a I22 identificam a mesma regra em painéis, relatórios, exportações e respostas da IA. EAP significa estrutura analítica do projeto, usada para organizar serviços e custos. ETC é custo remanescente; EAC é custo total previsto. O rótulo “realizado” deve sempre informar se mede execução econômica, baixa financeira ou caixa confirmado.</w:t>
      </w:r>
    </w:p>
    <w:p>
      <w:pPr>
        <w:pStyle w:val="Heading2"/>
      </w:pPr>
      <w:r>
        <w:rPr>
          <w:b w:val="0"/>
        </w:rPr>
        <w:t>I01 Custo incorrido</w:t>
      </w:r>
    </w:p>
    <w:p>
      <w:pPr>
        <w:keepNext/>
      </w:pPr>
      <w:r>
        <w:rPr>
          <w:b/>
        </w:rPr>
        <w:t xml:space="preserve">Cálculo. </w:t>
      </w:r>
      <w:r>
        <w:t>Soma dos eventos econômicos reconhecidos na competência, menos reversões e reduções econômicas válidas.</w:t>
      </w:r>
    </w:p>
    <w:p>
      <w:pPr>
        <w:keepNext/>
      </w:pPr>
      <w:r>
        <w:rPr>
          <w:b/>
        </w:rPr>
        <w:t xml:space="preserve">Fonte e data. </w:t>
      </w:r>
      <w:r>
        <w:t>Medições aceitas, consumos de estoque, recebimentos e demais documentos segundo D03. Competência até T; versão K.</w:t>
      </w:r>
    </w:p>
    <w:p>
      <w:r>
        <w:rPr>
          <w:b/>
        </w:rPr>
        <w:t xml:space="preserve">Vínculo e limite. </w:t>
      </w:r>
      <w:r>
        <w:t>Evento econômico único, obra e EAP. Não somar NF, medição e consumo do mesmo recurso. Pagamento antecipado não comprova execução.</w:t>
      </w:r>
    </w:p>
    <w:p>
      <w:pPr>
        <w:pStyle w:val="Heading2"/>
      </w:pPr>
      <w:r>
        <w:rPr>
          <w:b w:val="0"/>
        </w:rPr>
        <w:t>I02 Desembolsado confirmado</w:t>
      </w:r>
    </w:p>
    <w:p>
      <w:pPr>
        <w:keepNext/>
      </w:pPr>
      <w:r>
        <w:rPr>
          <w:b/>
        </w:rPr>
        <w:t xml:space="preserve">Cálculo. </w:t>
      </w:r>
      <w:r>
        <w:t>Soma das saídas externas efetivadas no intervalo, com devoluções e estornos financeiros em linha própria; apresentar bruto e líquido.</w:t>
      </w:r>
    </w:p>
    <w:p>
      <w:pPr>
        <w:keepNext/>
      </w:pPr>
      <w:r>
        <w:rPr>
          <w:b/>
        </w:rPr>
        <w:t xml:space="preserve">Fonte e data. </w:t>
      </w:r>
      <w:r>
        <w:t>Movimentos financeiros conciliados com extratos ou caixa físico validado. Para caixa por conta, usar a data de movimento que compõe o extrato; no caixa físico, a data do movimento validado. Execução e trânsito ficam preservados, conforme D06.</w:t>
      </w:r>
    </w:p>
    <w:p>
      <w:r>
        <w:rPr>
          <w:b/>
        </w:rPr>
        <w:t xml:space="preserve">Vínculo e limite. </w:t>
      </w:r>
      <w:r>
        <w:t>Liquidação, conta, transação e alocações. Inclui adiantamentos pagos; exclui transferências próprias do fluxo externo consolidado.</w:t>
      </w:r>
    </w:p>
    <w:p>
      <w:pPr>
        <w:pStyle w:val="Heading2"/>
      </w:pPr>
      <w:r>
        <w:rPr>
          <w:b w:val="0"/>
        </w:rPr>
        <w:t>I03 Contas a pagar tituladas</w:t>
      </w:r>
    </w:p>
    <w:p>
      <w:pPr>
        <w:keepNext/>
      </w:pPr>
      <w:r>
        <w:rPr>
          <w:b/>
        </w:rPr>
        <w:t xml:space="preserve">Cálculo. </w:t>
      </w:r>
      <w:r>
        <w:t>Soma dos saldos abertos dos componentes pagáveis ativos, conforme a equação da seção 5.</w:t>
      </w:r>
    </w:p>
    <w:p>
      <w:pPr>
        <w:keepNext/>
      </w:pPr>
      <w:r>
        <w:rPr>
          <w:b/>
        </w:rPr>
        <w:t xml:space="preserve">Fonte e data. </w:t>
      </w:r>
      <w:r>
        <w:t>Títulos e documentos válidos, eventos de liquidação e ajustes. Obrigação e eventos efetivos até T; vencimento apenas para faixas.</w:t>
      </w:r>
    </w:p>
    <w:p>
      <w:r>
        <w:rPr>
          <w:b/>
        </w:rPr>
        <w:t xml:space="preserve">Vínculo e limite. </w:t>
      </w:r>
      <w:r>
        <w:t>Documento, contraparte, parcela e origem. Distinguir saldo informado pelo ERP de saldo validado; baixa sem evidência gera pendência.</w:t>
      </w:r>
    </w:p>
    <w:p>
      <w:pPr>
        <w:pStyle w:val="Heading2"/>
      </w:pPr>
      <w:r>
        <w:rPr>
          <w:b w:val="0"/>
        </w:rPr>
        <w:t>I04 Obrigações incorridas ainda sem título definitivo</w:t>
      </w:r>
    </w:p>
    <w:p>
      <w:pPr>
        <w:keepNext/>
      </w:pPr>
      <w:r>
        <w:rPr>
          <w:b/>
        </w:rPr>
        <w:t xml:space="preserve">Cálculo. </w:t>
      </w:r>
      <w:r>
        <w:t>Soma das obrigações formalmente reconhecidas por execução ou recebimento, ainda não substituídas por título, menos extinções.</w:t>
      </w:r>
    </w:p>
    <w:p>
      <w:pPr>
        <w:keepNext/>
      </w:pPr>
      <w:r>
        <w:rPr>
          <w:b/>
        </w:rPr>
        <w:t xml:space="preserve">Fonte e data. </w:t>
      </w:r>
      <w:r>
        <w:t>Medição ou aceite documentado e aprovação financeira. Reconhecimento efetivo até T.</w:t>
      </w:r>
    </w:p>
    <w:p>
      <w:r>
        <w:rPr>
          <w:b/>
        </w:rPr>
        <w:t xml:space="preserve">Vínculo e limite. </w:t>
      </w:r>
      <w:r>
        <w:t>Evento econômico e cobertura contratual. A nota posterior substitui a representação provisória e registra apenas eventual diferença. Execução conhecida ainda em análise deve aparecer como pendência, com impacto na completude.</w:t>
      </w:r>
    </w:p>
    <w:p>
      <w:pPr>
        <w:pStyle w:val="Heading2"/>
      </w:pPr>
      <w:r>
        <w:rPr>
          <w:b w:val="0"/>
        </w:rPr>
        <w:t>I05 Obrigações reconhecidas em aberto</w:t>
      </w:r>
    </w:p>
    <w:p>
      <w:pPr>
        <w:keepNext/>
      </w:pPr>
      <w:r>
        <w:rPr>
          <w:b/>
        </w:rPr>
        <w:t xml:space="preserve">Cálculo. </w:t>
      </w:r>
      <w:r>
        <w:t>R = I03 + I04, após eliminar sobreposição. Inclui retenções e tributos já constituídos uma vez.</w:t>
      </w:r>
    </w:p>
    <w:p>
      <w:pPr>
        <w:keepNext/>
      </w:pPr>
      <w:r>
        <w:rPr>
          <w:b/>
        </w:rPr>
        <w:t xml:space="preserve">Fonte e data. </w:t>
      </w:r>
      <w:r>
        <w:t>Títulos e obrigações reconhecidas, inclusive adiantamento exigível se a política o reconhecer. Saldo em T.</w:t>
      </w:r>
    </w:p>
    <w:p>
      <w:r>
        <w:rPr>
          <w:b/>
        </w:rPr>
        <w:t xml:space="preserve">Vínculo e limite. </w:t>
      </w:r>
      <w:r>
        <w:t>Componentes exclusivos. Uma retenção incluída em R é detalhamento do total, não valor adicional.</w:t>
      </w:r>
    </w:p>
    <w:p>
      <w:pPr>
        <w:pStyle w:val="Heading2"/>
      </w:pPr>
      <w:r>
        <w:rPr>
          <w:b w:val="0"/>
        </w:rPr>
        <w:t>I06 Contas vencidas</w:t>
      </w:r>
    </w:p>
    <w:p>
      <w:pPr>
        <w:keepNext/>
      </w:pPr>
      <w:r>
        <w:rPr>
          <w:b/>
        </w:rPr>
        <w:t xml:space="preserve">Cálculo. </w:t>
      </w:r>
      <w:r>
        <w:t>Soma do saldo em aberto com vencimento vigente anterior a T. Vencendo hoje é faixa própria.</w:t>
      </w:r>
    </w:p>
    <w:p>
      <w:pPr>
        <w:keepNext/>
      </w:pPr>
      <w:r>
        <w:rPr>
          <w:b/>
        </w:rPr>
        <w:t xml:space="preserve">Fonte e data. </w:t>
      </w:r>
      <w:r>
        <w:t>Mesma base de I03 e, separadamente, I04 com exigibilidade definida. Vencimento vigente no corte.</w:t>
      </w:r>
    </w:p>
    <w:p>
      <w:r>
        <w:rPr>
          <w:b/>
        </w:rPr>
        <w:t xml:space="preserve">Vínculo e limite. </w:t>
      </w:r>
      <w:r>
        <w:t>Histórico da renegociação e calendário aprovado. Títulos sem data ficam em “vencimento desconhecido”, fora de faixas presumidas.</w:t>
      </w:r>
    </w:p>
    <w:p>
      <w:pPr>
        <w:pStyle w:val="Heading2"/>
      </w:pPr>
      <w:r>
        <w:rPr>
          <w:b w:val="0"/>
        </w:rPr>
        <w:t>I07 A pagar nos próximos 30 e 90 dias</w:t>
      </w:r>
    </w:p>
    <w:p>
      <w:pPr>
        <w:keepNext/>
      </w:pPr>
      <w:r>
        <w:rPr>
          <w:b/>
        </w:rPr>
        <w:t xml:space="preserve">Cálculo. </w:t>
      </w:r>
      <w:r>
        <w:t>Soma dos saldos com T &lt; vencimento ≤ T + n dias. Separar vencidos e vencendo hoje. Para necessidade imediata, mostrar vencidos + hoje + horizonte.</w:t>
      </w:r>
    </w:p>
    <w:p>
      <w:pPr>
        <w:keepNext/>
      </w:pPr>
      <w:r>
        <w:rPr>
          <w:b/>
        </w:rPr>
        <w:t xml:space="preserve">Fonte e data. </w:t>
      </w:r>
      <w:r>
        <w:t>Usar exclusivamente I05 para obrigações reconhecidas. Mostrar C e P em colunas próprias; a necessidade total no horizonte só soma camadas sem sobreposição. Vencimento contratual ou data estimada claramente rotulada.</w:t>
      </w:r>
    </w:p>
    <w:p>
      <w:r>
        <w:rPr>
          <w:b/>
        </w:rPr>
        <w:t xml:space="preserve">Vínculo e limite. </w:t>
      </w:r>
      <w:r>
        <w:t>Não somar janelas de 30 e 90 dias, pois são cumulativas. Separar sem data.</w:t>
      </w:r>
    </w:p>
    <w:p>
      <w:pPr>
        <w:pStyle w:val="Heading2"/>
      </w:pPr>
      <w:r>
        <w:rPr>
          <w:b w:val="0"/>
        </w:rPr>
        <w:t>I08 Retenções em aberto</w:t>
      </w:r>
    </w:p>
    <w:p>
      <w:pPr>
        <w:keepNext/>
      </w:pPr>
      <w:r>
        <w:rPr>
          <w:b/>
        </w:rPr>
        <w:t xml:space="preserve">Cálculo. </w:t>
      </w:r>
      <w:r>
        <w:t>Retenções constituídas menos liberações efetivamente liquidadas e reduções válidas.</w:t>
      </w:r>
    </w:p>
    <w:p>
      <w:pPr>
        <w:keepNext/>
      </w:pPr>
      <w:r>
        <w:rPr>
          <w:b/>
        </w:rPr>
        <w:t xml:space="preserve">Fonte e data. </w:t>
      </w:r>
      <w:r>
        <w:t>Cláusulas, medições, documentos e títulos de retenção. Constituição até T; liberação por data ou condição.</w:t>
      </w:r>
    </w:p>
    <w:p>
      <w:r>
        <w:rPr>
          <w:b/>
        </w:rPr>
        <w:t xml:space="preserve">Vínculo e limite. </w:t>
      </w:r>
      <w:r>
        <w:t>Fornecedor, contrato, medição e título pai. É subconjunto de I05 quando reconhecida; retenção futura ainda não constituída integra compromisso.</w:t>
      </w:r>
    </w:p>
    <w:p>
      <w:pPr>
        <w:pStyle w:val="Heading2"/>
      </w:pPr>
      <w:r>
        <w:rPr>
          <w:b w:val="0"/>
        </w:rPr>
        <w:t>I09 Adiantamentos disponíveis</w:t>
      </w:r>
    </w:p>
    <w:p>
      <w:pPr>
        <w:keepNext/>
      </w:pPr>
      <w:r>
        <w:rPr>
          <w:b/>
        </w:rPr>
        <w:t xml:space="preserve">Cálculo. </w:t>
      </w:r>
      <w:r>
        <w:t>Adiantamentos efetivamente pagos ou recebidos menos aplicações, restituições e ajustes válidos; apresentar as duas direções separadamente.</w:t>
      </w:r>
    </w:p>
    <w:p>
      <w:pPr>
        <w:keepNext/>
      </w:pPr>
      <w:r>
        <w:rPr>
          <w:b/>
        </w:rPr>
        <w:t xml:space="preserve">Fonte e data. </w:t>
      </w:r>
      <w:r>
        <w:t>Banco, documento de antecipação e eventos de aplicação. Pagamento ou recebimento e aplicação até T.</w:t>
      </w:r>
    </w:p>
    <w:p>
      <w:r>
        <w:rPr>
          <w:b/>
        </w:rPr>
        <w:t xml:space="preserve">Vínculo e limite. </w:t>
      </w:r>
      <w:r>
        <w:t>Entidade, contraparte e contrato. Crédito sem destino não abate dívida genérica. Não subtrair novamente do indicador I12.</w:t>
      </w:r>
    </w:p>
    <w:p>
      <w:pPr>
        <w:pStyle w:val="Heading2"/>
      </w:pPr>
      <w:r>
        <w:rPr>
          <w:b w:val="0"/>
        </w:rPr>
        <w:t>I10 Compromisso financeiro remanescente</w:t>
      </w:r>
    </w:p>
    <w:p>
      <w:pPr>
        <w:keepNext/>
      </w:pPr>
      <w:r>
        <w:rPr>
          <w:b/>
        </w:rPr>
        <w:t xml:space="preserve">Cálculo. </w:t>
      </w:r>
      <w:r>
        <w:t>C = valor financeiro firme vigente menos cobertura única já cumprida ou representada em obrigações abertas.</w:t>
      </w:r>
    </w:p>
    <w:p>
      <w:pPr>
        <w:keepNext/>
      </w:pPr>
      <w:r>
        <w:rPr>
          <w:b/>
        </w:rPr>
        <w:t xml:space="preserve">Fonte e data. </w:t>
      </w:r>
      <w:r>
        <w:t>Contratos, pedidos firmes, aditivos e mapa financeiro. Versão vigente em T e calendário futuro.</w:t>
      </w:r>
    </w:p>
    <w:p>
      <w:r>
        <w:rPr>
          <w:b/>
        </w:rPr>
        <w:t xml:space="preserve">Vínculo e limite. </w:t>
      </w:r>
      <w:r>
        <w:t>Item e escopo. Deduzir títulos constituídos e pagamentos sem dupla contagem; não usar apenas execução física.</w:t>
      </w:r>
    </w:p>
    <w:p>
      <w:pPr>
        <w:pStyle w:val="Heading2"/>
      </w:pPr>
      <w:r>
        <w:rPr>
          <w:b w:val="0"/>
        </w:rPr>
        <w:t>I11 Previsão financeira ainda sem cobertura</w:t>
      </w:r>
    </w:p>
    <w:p>
      <w:pPr>
        <w:keepNext/>
      </w:pPr>
      <w:r>
        <w:rPr>
          <w:b/>
        </w:rPr>
        <w:t xml:space="preserve">Cálculo. </w:t>
      </w:r>
      <w:r>
        <w:t>P = soma dos desembolsos estimados para escopo futuro não coberto por R, C nem pagamentos já vinculados.</w:t>
      </w:r>
    </w:p>
    <w:p>
      <w:pPr>
        <w:keepNext/>
      </w:pPr>
      <w:r>
        <w:rPr>
          <w:b/>
        </w:rPr>
        <w:t xml:space="preserve">Fonte e data. </w:t>
      </w:r>
      <w:r>
        <w:t>Reestimativa aprovada por serviço/recurso, com cronograma e preços. Versão conhecida em K; datas posteriores a T, inclusive o restante do mês do corte. Valores sem data ficam em faixa própria e impedem validar o cronograma completo.</w:t>
      </w:r>
    </w:p>
    <w:p>
      <w:r>
        <w:rPr>
          <w:b/>
        </w:rPr>
        <w:t xml:space="preserve">Vínculo e limite. </w:t>
      </w:r>
      <w:r>
        <w:t>EAP, quantidade, cobertura e premissas. Orçamento menos pago não substitui este levantamento.</w:t>
      </w:r>
    </w:p>
    <w:p>
      <w:pPr>
        <w:pStyle w:val="Heading2"/>
      </w:pPr>
      <w:r>
        <w:rPr>
          <w:b w:val="0"/>
        </w:rPr>
        <w:t>I12 Desembolsos estimados até a conclusão</w:t>
      </w:r>
    </w:p>
    <w:p>
      <w:pPr>
        <w:keepNext/>
      </w:pPr>
      <w:r>
        <w:rPr>
          <w:b/>
        </w:rPr>
        <w:t xml:space="preserve">Cálculo. </w:t>
      </w:r>
      <w:r>
        <w:t>Q = R + C + P na base monetária declarada. Q do cenário = Q + AF, sendo AF os ajustes futuros exclusivos ainda não embutidos nessas camadas.</w:t>
      </w:r>
    </w:p>
    <w:p>
      <w:pPr>
        <w:keepNext/>
      </w:pPr>
      <w:r>
        <w:rPr>
          <w:b/>
        </w:rPr>
        <w:t xml:space="preserve">Fonte e data. </w:t>
      </w:r>
      <w:r>
        <w:t>I05, I10 e I11 conciliados. AF guarda índice, período, componente e premissa; sua atualização não pode repetir encargos ou correções já incluídos. Corte T e horizonte até o fim das obrigações, inclusive retenções posteriores à entrega.</w:t>
      </w:r>
    </w:p>
    <w:p>
      <w:r>
        <w:rPr>
          <w:b/>
        </w:rPr>
        <w:t xml:space="preserve">Vínculo e limite. </w:t>
      </w:r>
      <w:r>
        <w:t>Mapa financeiro completo. Informar separadamente execução, despesas corporativas atribuídas, financiamento e cenários, conforme D04.</w:t>
      </w:r>
    </w:p>
    <w:p>
      <w:pPr>
        <w:pStyle w:val="Heading2"/>
      </w:pPr>
      <w:r>
        <w:rPr>
          <w:b w:val="0"/>
        </w:rPr>
        <w:t>I13 Custo remanescente para concluir</w:t>
      </w:r>
    </w:p>
    <w:p>
      <w:pPr>
        <w:keepNext/>
      </w:pPr>
      <w:r>
        <w:rPr>
          <w:b/>
        </w:rPr>
        <w:t xml:space="preserve">Cálculo. </w:t>
      </w:r>
      <w:r>
        <w:t>ETC = soma dos custos dos recursos e serviços ainda necessários, contratados ou não, na base econômica aprovada.</w:t>
      </w:r>
    </w:p>
    <w:p>
      <w:pPr>
        <w:keepNext/>
      </w:pPr>
      <w:r>
        <w:rPr>
          <w:b/>
        </w:rPr>
        <w:t xml:space="preserve">Fonte e data. </w:t>
      </w:r>
      <w:r>
        <w:t>Quantidades remanescentes, contratos, estoques e previsão econômica. Execução reconhecida até T; previsão vigente.</w:t>
      </w:r>
    </w:p>
    <w:p>
      <w:r>
        <w:rPr>
          <w:b/>
        </w:rPr>
        <w:t xml:space="preserve">Vínculo e limite. </w:t>
      </w:r>
      <w:r>
        <w:t>Mapa econômico separado do mapa financeiro. Adiantamentos não reduzem ETC; estoque já comprado pode reduzir caixa futuro sem eliminar custo de consumo futuro.</w:t>
      </w:r>
    </w:p>
    <w:p>
      <w:pPr>
        <w:pStyle w:val="Heading2"/>
      </w:pPr>
      <w:r>
        <w:rPr>
          <w:b w:val="0"/>
        </w:rPr>
        <w:t>I14 Custo total previsto</w:t>
      </w:r>
    </w:p>
    <w:p>
      <w:pPr>
        <w:keepNext/>
      </w:pPr>
      <w:r>
        <w:rPr>
          <w:b/>
        </w:rPr>
        <w:t xml:space="preserve">Cálculo. </w:t>
      </w:r>
      <w:r>
        <w:t>EAC = custo incorrido I01 + custo remanescente I13.</w:t>
      </w:r>
    </w:p>
    <w:p>
      <w:pPr>
        <w:keepNext/>
      </w:pPr>
      <w:r>
        <w:rPr>
          <w:b/>
        </w:rPr>
        <w:t xml:space="preserve">Fonte e data. </w:t>
      </w:r>
      <w:r>
        <w:t>Mesma base econômica e mesmo escopo dos dois componentes. Competência acumulada até T e previsão até conclusão.</w:t>
      </w:r>
    </w:p>
    <w:p>
      <w:r>
        <w:rPr>
          <w:b/>
        </w:rPr>
        <w:t xml:space="preserve">Vínculo e limite. </w:t>
      </w:r>
      <w:r>
        <w:t>Não forçar EAC a coincidir com orçamento. Excluir amortização de empréstimos e outras movimentações sem natureza de custo.</w:t>
      </w:r>
    </w:p>
    <w:p>
      <w:pPr>
        <w:pStyle w:val="Heading2"/>
      </w:pPr>
      <w:r>
        <w:rPr>
          <w:b w:val="0"/>
        </w:rPr>
        <w:t>I15 Orçamento e desvio previsto</w:t>
      </w:r>
    </w:p>
    <w:p>
      <w:pPr>
        <w:keepNext/>
      </w:pPr>
      <w:r>
        <w:rPr>
          <w:b/>
        </w:rPr>
        <w:t xml:space="preserve">Cálculo. </w:t>
      </w:r>
      <w:r>
        <w:t>Orçamento original B0 e vigente Bv são versões aprovadas. Desvio = EAC - Bv; desvio percentual = desvio ÷ Bv, se Bv &gt; 0.</w:t>
      </w:r>
    </w:p>
    <w:p>
      <w:pPr>
        <w:keepNext/>
      </w:pPr>
      <w:r>
        <w:rPr>
          <w:b/>
        </w:rPr>
        <w:t xml:space="preserve">Fonte e data. </w:t>
      </w:r>
      <w:r>
        <w:t>Orçamento aprovado e I14. Vigência da revisão e base monetária explicitadas.</w:t>
      </w:r>
    </w:p>
    <w:p>
      <w:r>
        <w:rPr>
          <w:b/>
        </w:rPr>
        <w:t xml:space="preserve">Vínculo e limite. </w:t>
      </w:r>
      <w:r>
        <w:t>Mesma EAP e escopo. Mostrar comparação com B0 quando relevante. Base zero ou desconhecida impede percentual; valor positivo indica excedente.</w:t>
      </w:r>
    </w:p>
    <w:p>
      <w:pPr>
        <w:pStyle w:val="Heading2"/>
      </w:pPr>
      <w:r>
        <w:rPr>
          <w:b w:val="0"/>
        </w:rPr>
        <w:t>I16 Contas a receber</w:t>
      </w:r>
    </w:p>
    <w:p>
      <w:pPr>
        <w:keepNext/>
      </w:pPr>
      <w:r>
        <w:rPr>
          <w:b/>
        </w:rPr>
        <w:t xml:space="preserve">Cálculo. </w:t>
      </w:r>
      <w:r>
        <w:t>Soma dos direitos financeiros reconhecidos e titulados em aberto, acrescidos de encargos válidos e reduzidos por recebimentos, descontos e compensações.</w:t>
      </w:r>
    </w:p>
    <w:p>
      <w:pPr>
        <w:keepNext/>
      </w:pPr>
      <w:r>
        <w:rPr>
          <w:b/>
        </w:rPr>
        <w:t xml:space="preserve">Fonte e data. </w:t>
      </w:r>
      <w:r>
        <w:t>Contrato de venda, unidade, parcela, eventos e documentos. Saldo em T, faixas pelo vencimento.</w:t>
      </w:r>
    </w:p>
    <w:p>
      <w:r>
        <w:rPr>
          <w:b/>
        </w:rPr>
        <w:t xml:space="preserve">Vínculo e limite. </w:t>
      </w:r>
      <w:r>
        <w:t>Cliente, contrato, unidade e parcela. Separar retenções a receber, créditos, disputas e perdas estimadas; não apagar o direito por atraso.</w:t>
      </w:r>
    </w:p>
    <w:p>
      <w:pPr>
        <w:pStyle w:val="Heading2"/>
      </w:pPr>
      <w:r>
        <w:rPr>
          <w:b w:val="0"/>
        </w:rPr>
        <w:t>I17 Recebido confirmado</w:t>
      </w:r>
    </w:p>
    <w:p>
      <w:pPr>
        <w:keepNext/>
      </w:pPr>
      <w:r>
        <w:rPr>
          <w:b/>
        </w:rPr>
        <w:t xml:space="preserve">Cálculo. </w:t>
      </w:r>
      <w:r>
        <w:t>Soma dos ingressos externos conciliados, com devoluções, tarifas e recebimentos por terceiros discriminados.</w:t>
      </w:r>
    </w:p>
    <w:p>
      <w:pPr>
        <w:keepNext/>
      </w:pPr>
      <w:r>
        <w:rPr>
          <w:b/>
        </w:rPr>
        <w:t xml:space="preserve">Fonte e data. </w:t>
      </w:r>
      <w:r>
        <w:t>Extrato e liquidações dos direitos. Mesma convenção de I02: data do movimento bancário ou do caixa físico validado. Conciliação registra apenas a confirmação.</w:t>
      </w:r>
    </w:p>
    <w:p>
      <w:r>
        <w:rPr>
          <w:b/>
        </w:rPr>
        <w:t xml:space="preserve">Vínculo e limite. </w:t>
      </w:r>
      <w:r>
        <w:t>Não igualar recebimento a receita. Empréstimos e aportes têm natureza própria; permuta e compensação não são entrada bancária.</w:t>
      </w:r>
    </w:p>
    <w:p>
      <w:pPr>
        <w:pStyle w:val="Heading2"/>
      </w:pPr>
      <w:r>
        <w:rPr>
          <w:b w:val="0"/>
        </w:rPr>
        <w:t>I18 Entradas contratuais futuras</w:t>
      </w:r>
    </w:p>
    <w:p>
      <w:pPr>
        <w:keepNext/>
      </w:pPr>
      <w:r>
        <w:rPr>
          <w:b/>
        </w:rPr>
        <w:t xml:space="preserve">Cálculo. </w:t>
      </w:r>
      <w:r>
        <w:t>Recebíveis abertos + parcela contratual futura ainda não representada nem cumprida, ambos líquidos dos respectivos abatimentos válidos. Não aplicar dedução global adicional de antecipações.</w:t>
      </w:r>
    </w:p>
    <w:p>
      <w:pPr>
        <w:keepNext/>
      </w:pPr>
      <w:r>
        <w:rPr>
          <w:b/>
        </w:rPr>
        <w:t xml:space="preserve">Fonte e data. </w:t>
      </w:r>
      <w:r>
        <w:t>Contratos, aditivos, distratos e mapa de cobertura dos recebíveis. Saldo em T e agenda futura.</w:t>
      </w:r>
    </w:p>
    <w:p>
      <w:r>
        <w:rPr>
          <w:b/>
        </w:rPr>
        <w:t xml:space="preserve">Vínculo e limite. </w:t>
      </w:r>
      <w:r>
        <w:t>Excluir estoque não vendido da carteira contratada. Vendas esperadas, probabilidades e atrasos ficam em cenário separado.</w:t>
      </w:r>
    </w:p>
    <w:p>
      <w:pPr>
        <w:pStyle w:val="Heading2"/>
      </w:pPr>
      <w:r>
        <w:rPr>
          <w:b w:val="0"/>
        </w:rPr>
        <w:t>I19 Recebíveis vencidos e inadimplência</w:t>
      </w:r>
    </w:p>
    <w:p>
      <w:pPr>
        <w:keepNext/>
      </w:pPr>
      <w:r>
        <w:rPr>
          <w:b/>
        </w:rPr>
        <w:t xml:space="preserve">Cálculo. </w:t>
      </w:r>
      <w:r>
        <w:t>Saldo vencido = saldo aberto de parcelas vencidas. Taxa de atraso da coorte = principal vencido em aberto da coorte ÷ principal exigível da mesma coorte, líquido de cancelamentos válidos.</w:t>
      </w:r>
    </w:p>
    <w:p>
      <w:pPr>
        <w:keepNext/>
      </w:pPr>
      <w:r>
        <w:rPr>
          <w:b/>
        </w:rPr>
        <w:t xml:space="preserve">Fonte e data. </w:t>
      </w:r>
      <w:r>
        <w:t>Recebíveis e histórico contratual. Vencimento no intervalo escolhido e saldo em T.</w:t>
      </w:r>
    </w:p>
    <w:p>
      <w:r>
        <w:rPr>
          <w:b/>
        </w:rPr>
        <w:t xml:space="preserve">Vínculo e limite. </w:t>
      </w:r>
      <w:r>
        <w:t>Definir coorte, carência e tratamento de renegociação em D09. Não dividir por toda a carteira futura nem esconder o histórico original; denominador zero gera não aplicável.</w:t>
      </w:r>
    </w:p>
    <w:p>
      <w:pPr>
        <w:pStyle w:val="Heading2"/>
      </w:pPr>
      <w:r>
        <w:rPr>
          <w:b w:val="0"/>
        </w:rPr>
        <w:t>I20 Saldo e disponibilidade de caixa</w:t>
      </w:r>
    </w:p>
    <w:p>
      <w:pPr>
        <w:keepNext/>
      </w:pPr>
      <w:r>
        <w:rPr>
          <w:b/>
        </w:rPr>
        <w:t xml:space="preserve">Cálculo. </w:t>
      </w:r>
      <w:r>
        <w:t>Saldo = saldo inicial comprovado + entradas - saídas por conta. Disponibilidade = caixa elegível menos restrições identificadas.</w:t>
      </w:r>
    </w:p>
    <w:p>
      <w:pPr>
        <w:keepNext/>
      </w:pPr>
      <w:r>
        <w:rPr>
          <w:b/>
        </w:rPr>
        <w:t xml:space="preserve">Fonte e data. </w:t>
      </w:r>
      <w:r>
        <w:t>Todas as contas, extratos contínuos, caixa físico e restrições documentadas. Data bancária até T.</w:t>
      </w:r>
    </w:p>
    <w:p>
      <w:r>
        <w:rPr>
          <w:b/>
        </w:rPr>
        <w:t xml:space="preserve">Vínculo e limite. </w:t>
      </w:r>
      <w:r>
        <w:t>Conciliar com saldo externo. Um saldo bancário observado pode ser conhecido mesmo com movimentos sem classificação; o status de conciliação permanece separado.</w:t>
      </w:r>
    </w:p>
    <w:p>
      <w:pPr>
        <w:pStyle w:val="Heading2"/>
      </w:pPr>
      <w:r>
        <w:rPr>
          <w:b w:val="0"/>
        </w:rPr>
        <w:t>I21 Saldo projetado e necessidade de recursos</w:t>
      </w:r>
    </w:p>
    <w:p>
      <w:pPr>
        <w:keepNext/>
      </w:pPr>
      <w:r>
        <w:rPr>
          <w:b/>
        </w:rPr>
        <w:t xml:space="preserve">Cálculo. </w:t>
      </w:r>
      <w:r>
        <w:t>Saldo futuro = disponibilidade inicial + entradas futuras - saídas futuras. Necessidade = maior insuficiência frente ao caixa mínimo aprovado ao longo do horizonte.</w:t>
      </w:r>
    </w:p>
    <w:p>
      <w:pPr>
        <w:keepNext/>
      </w:pPr>
      <w:r>
        <w:rPr>
          <w:b/>
        </w:rPr>
        <w:t xml:space="preserve">Fonte e data. </w:t>
      </w:r>
      <w:r>
        <w:t>I18 e a versão pertinente de I12. Financiamentos entram apenas quando não incluídos na origem, por evento único: ingresso, principal amortizado e encargos separados. Data prevista de caixa em cada período.</w:t>
      </w:r>
    </w:p>
    <w:p>
      <w:r>
        <w:rPr>
          <w:b/>
        </w:rPr>
        <w:t xml:space="preserve">Vínculo e limite. </w:t>
      </w:r>
      <w:r>
        <w:t>Sem repetir saídas já presentes em I12. Separar cenários contratual e comercial. Usar a maior insuficiência ao longo do tempo; sem previsão completa, a necessidade também é parcial.</w:t>
      </w:r>
    </w:p>
    <w:p>
      <w:pPr>
        <w:pStyle w:val="Heading2"/>
      </w:pPr>
      <w:r>
        <w:rPr>
          <w:b w:val="0"/>
        </w:rPr>
        <w:t>I22 Qualidade e cobertura</w:t>
      </w:r>
    </w:p>
    <w:p>
      <w:pPr>
        <w:keepNext/>
      </w:pPr>
      <w:r>
        <w:rPr>
          <w:b/>
        </w:rPr>
        <w:t xml:space="preserve">Cálculo. </w:t>
      </w:r>
      <w:r>
        <w:t>Apropriação = valor absoluto alocado validamente ÷ valor absoluto apropriável conhecido. Conciliação = valor absoluto conciliado ÷ valor absoluto de movimentos do perímetro. Cobertura externa = IDs carregados válidos ÷ IDs esperados, se universo completo conhecido.</w:t>
      </w:r>
    </w:p>
    <w:p>
      <w:pPr>
        <w:keepNext/>
      </w:pPr>
      <w:r>
        <w:rPr>
          <w:b/>
        </w:rPr>
        <w:t xml:space="preserve">Fonte e data. </w:t>
      </w:r>
      <w:r>
        <w:t>Alocações, extratos, manifesto da carga e contagens de origem. Mesmo corte, período e versão do indicador avaliado.</w:t>
      </w:r>
    </w:p>
    <w:p>
      <w:r>
        <w:rPr>
          <w:b/>
        </w:rPr>
        <w:t xml:space="preserve">Vínculo e limite. </w:t>
      </w:r>
      <w:r>
        <w:t>Exibir numerador, denominador, contagem e valor de pendências. Não usar sinais para compensar erros; não afirmar 100% de cobertura com universo desconhecido.</w:t>
      </w:r>
    </w:p>
    <w:p>
      <w:pPr>
        <w:pStyle w:val="Heading1"/>
      </w:pPr>
      <w:r>
        <w:rPr>
          <w:b w:val="0"/>
        </w:rPr>
        <w:t>7 Como impedir dupla contagem</w:t>
      </w:r>
    </w:p>
    <w:p>
      <w:pPr>
        <w:pStyle w:val="Heading2"/>
      </w:pPr>
      <w:r>
        <w:rPr>
          <w:b w:val="0"/>
        </w:rPr>
        <w:t>7 1 Dois mapas de cobertura</w:t>
      </w:r>
    </w:p>
    <w:p>
      <w:r>
        <w:rPr>
          <w:b w:val="0"/>
        </w:rPr>
        <w:t>O mapa financeiro identifica qual parcela do preço já foi desembolsada, extinta sem novo caixa, reconhecida em aberto ou permanece como compromisso futuro. O mapa econômico identifica o que já foi executado ou consumido e o que ainda será necessário. Faturamento ou pagamento antecipado pode consumir cobertura financeira antes de existir custo incorrido.</w:t>
      </w:r>
    </w:p>
    <w:p>
      <w:pPr>
        <w:keepNext/>
        <w:spacing w:before="80" w:after="160"/>
      </w:pPr>
      <m:oMath>
        <m:r>
          <m:rPr>
            <m:sty m:val="p"/>
          </m:rPr>
          <m:t xml:space="preserve">Q = R + C + P</m:t>
        </m:r>
      </m:oMath>
    </w:p>
    <w:p>
      <w:r>
        <w:rPr>
          <w:b w:val="0"/>
        </w:rPr>
        <w:t>R é o saldo de obrigações reconhecidas, C é o compromisso futuro ainda não representado nem cumprido e P é a previsão futura sem cobertura. Todas as camadas já consideram seus abatimentos válidos. Não haverá uma dedução global adicional de adiantamentos, pois isso reduziria o mesmo dinheiro duas vezes.</w:t>
      </w:r>
    </w:p>
    <w:p>
      <w:pPr>
        <w:keepNext/>
        <w:spacing w:before="80" w:after="160"/>
      </w:pPr>
      <m:oMath>
        <m:r>
          <m:rPr>
            <m:sty m:val="p"/>
          </m:rPr>
          <m:t xml:space="preserve">Q do cenário = Q + AF</m:t>
        </m:r>
      </m:oMath>
    </w:p>
    <w:p>
      <w:r>
        <w:rPr>
          <w:b w:val="0"/>
        </w:rPr>
        <w:t>AF reúne somente correções, juros e outros ajustes futuros ainda não reconhecidos e ainda não embutidos em R, C ou P. Cada ajuste identifica a base, o contrato ou título, a data estimada, a premissa e o cenário. Quando se tornar constituído, migra para a camada pertinente e deixa de integrar AF. Uma atualização já incorporada ao preço previsto não será acrescentada novamente. Nos exemplos da seção 12, AF é zero.</w:t>
      </w:r>
    </w:p>
    <w:p>
      <w:pPr>
        <w:keepNext/>
        <w:spacing w:before="80" w:after="160"/>
      </w:pPr>
      <m:oMath>
        <m:r>
          <m:rPr>
            <m:sty m:val="p"/>
          </m:rPr>
          <m:t xml:space="preserve">C = V - H - N - Rv</m:t>
        </m:r>
      </m:oMath>
    </w:p>
    <w:p>
      <w:r>
        <w:rPr>
          <w:b w:val="0"/>
        </w:rPr>
        <w:t>Na conferência de um contrato, V é o valor financeiro firme vigente; H é o principal efetivamente desembolsado e ainda imputável ao preço daquele escopo, incluindo adiantamentos; N são extinções válidas sem novo desembolso que ainda não estejam refletidas em V; Rv é o saldo aberto das obrigações vinculadas ao mesmo preço. Aplicar adiantamento não aumenta H nem N. A equação depende de alocações por item e não autoriza compensação arbitrária entre contrapartes. H inclui pagamento ao fornecedor e recolhimento de tributo retido que componha esse preço; Rv inclui os respectivos saldos ainda devidos. Tributo próprio que não integre V é tratado separadamente.</w:t>
      </w:r>
    </w:p>
    <w:p>
      <w:r>
        <w:rPr>
          <w:b w:val="0"/>
        </w:rPr>
        <w:t>Juros fora do preço contratual não entram em H como principal. Se uma rescisão converter adiantamento em direito de restituição, reclassificar a cobertura do contrato e apresentar o crédito separadamente; não gerar C negativo para esconder o crédito. Cancelamento de escopo reduz V, enquanto desconto já incorporado a V não é repetido em N. Resultado negativo ou ausência de vínculo gera exceção.</w:t>
      </w:r>
    </w:p>
    <w:p>
      <w:pPr>
        <w:pStyle w:val="Heading2"/>
      </w:pPr>
      <w:r>
        <w:rPr>
          <w:b w:val="0"/>
        </w:rPr>
        <w:t>7 2 Regras de substituição</w:t>
      </w:r>
    </w:p>
    <w:p>
      <w:r>
        <w:rPr>
          <w:b w:val="0"/>
        </w:rPr>
        <w:t>Ao constituir um título já previsto no contrato, transferir a cobertura de C para R; Q permanece igual se preço e condições não mudarem. Ao reconhecer medição sem nota, registrar a obrigação correspondente em R quando aprovada. A nota posterior substitui essa representação, sem criar uma segunda dívida ou novo custo do mesmo serviço.</w:t>
      </w:r>
    </w:p>
    <w:p>
      <w:r>
        <w:rPr>
          <w:b w:val="0"/>
        </w:rPr>
        <w:t>Ao contratar um escopo que estava em P, transferir sua cobertura para C ou R conforme o evento, ajustando somente diferenças aprovadas de preço, quantidade ou condição. Contrato e pedido referentes à mesma compra compartilham cobertura. Em renegociação, a dívida original deixa de compor o saldo na data em que a substituição se torna válida; o novo conjunto herda o vínculo, e encargos adicionais ficam destacados.</w:t>
      </w:r>
    </w:p>
    <w:p>
      <w:r>
        <w:rPr>
          <w:b w:val="0"/>
        </w:rPr>
        <w:t>A previsão é calculada por serviço, quantidade e custo remanescente. A fórmula “orçamento original menos realizado menos contratos” pode esconder estouro, mudança de escopo, estoque, preço ou contrato em outra base. Só pode servir como conferência quando todas essas bases forem compatíveis, nunca como substituto automático da reestimativa.</w:t>
      </w:r>
    </w:p>
    <w:p>
      <w:r>
        <w:rPr>
          <w:b w:val="0"/>
        </w:rPr>
        <w:t>Se faltarem os vínculos entre títulos, contratos e previsão, mostrar os componentes identificados separadamente e declarar que o total até a conclusão não pôde ser validado. Não somar componentes potencialmente sobrepostos e chamar o resultado de total confiável.</w:t>
      </w:r>
    </w:p>
    <w:p>
      <w:pPr>
        <w:pStyle w:val="Heading1"/>
      </w:pPr>
      <w:r>
        <w:rPr>
          <w:b w:val="0"/>
        </w:rPr>
        <w:t>8 Tratamento dos eventos e exceções</w:t>
      </w:r>
    </w:p>
    <w:p>
      <w:pPr>
        <w:pStyle w:val="Heading2"/>
      </w:pPr>
      <w:r>
        <w:rPr>
          <w:b w:val="0"/>
        </w:rPr>
        <w:t>8 1 Pagamentos parciais e conciliação</w:t>
      </w:r>
    </w:p>
    <w:p>
      <w:r>
        <w:rPr>
          <w:b w:val="0"/>
        </w:rPr>
        <w:t>Cada pagamento parcial reduz apenas os componentes efetivamente liquidados. O título conserva valor original, saldo, vencimento aplicável e histórico. Um pagamento pode atender vários títulos e um título pode receber vários pagamentos. A ordem de imputação entre principal, juros e multa depende de contrato e de D06; não presumir que todo dinheiro reduz principal.</w:t>
      </w:r>
    </w:p>
    <w:p>
      <w:r>
        <w:rPr>
          <w:b w:val="0"/>
        </w:rPr>
        <w:t>Separar estados de solicitação, aprovação, agendamento, execução, falha e devolução. Uma baixa operacional já reconhecida, mas ainda não conciliada, deve aparecer como pendente de confirmação e impedir pagamento duplicado durante a apuração. O sistema pode mostrar saldo informado e saldo validado; não deve inventar confirmação bancária nem reabrir automaticamente todos os títulos apenas porque falta extrato.</w:t>
      </w:r>
    </w:p>
    <w:p>
      <w:r>
        <w:rPr>
          <w:b w:val="0"/>
        </w:rPr>
        <w:t>Conciliação não cria movimentos novos. O banco importado deve ser ligado ao evento existente; se o movimento ainda não existir, sua criação exige classificação ou conta de pendência. Comprovantes, extratos, IDs do provedor e IDs externos devem impedir repetição por arquivo e por transação. Ajustes dentro de tolerância recebem lançamento identificado; diferença aceita não desaparece.</w:t>
      </w:r>
    </w:p>
    <w:p>
      <w:pPr>
        <w:pStyle w:val="Heading2"/>
      </w:pPr>
      <w:r>
        <w:rPr>
          <w:b w:val="0"/>
        </w:rPr>
        <w:t>8 2 Adiantamentos e retenções</w:t>
      </w:r>
    </w:p>
    <w:p>
      <w:r>
        <w:rPr>
          <w:b w:val="0"/>
        </w:rPr>
        <w:t>Adiantamento a fornecedor é saída de caixa e crédito a aplicar, até ocorrer o fato econômico pertinente. A aplicação baixa o crédito e o título vinculado sem repetir o desembolso. Crédito não comprovado ou sem destino fica separado; não reduz genericamente os compromissos da obra. Adiantamento de cliente é entrada de caixa com obrigação contratual ou crédito a aplicar, conforme enquadramento, sem reconhecimento automático de receita. [N4]</w:t>
      </w:r>
    </w:p>
    <w:p>
      <w:r>
        <w:rPr>
          <w:b w:val="0"/>
        </w:rPr>
        <w:t>Retenção contratual é parcela ainda devida ao fornecedor, sujeita a condição ou data própria de liberação. Ela permanece visível no passivo gerencial quando constituída. A retenção tributária retira parte do valor a pagar ao fornecedor e gera obrigação com o destinatário tributário, conforme a regra aplicável. O documento bruto é desdobrado; não se soma o bruto com os títulos filhos.</w:t>
      </w:r>
    </w:p>
    <w:p>
      <w:r>
        <w:rPr>
          <w:b w:val="0"/>
        </w:rPr>
        <w:t>Tributo retido de terceiro, tributo próprio e tributo recuperável têm naturezas diferentes. A base do custo pode ser diferente do desembolso financeiro. Alíquotas, exigibilidade, reconhecimento e recuperação dependem de D08 e do contador. Retenções futuras sobre serviço ainda não executado integram compromisso ou previsão, sem serem também lançadas como retenção já constituída.</w:t>
      </w:r>
    </w:p>
    <w:p>
      <w:pPr>
        <w:pStyle w:val="Heading2"/>
      </w:pPr>
      <w:r>
        <w:rPr>
          <w:b w:val="0"/>
        </w:rPr>
        <w:t>8 3 Encargos descontos estornos e cancelamentos</w:t>
      </w:r>
    </w:p>
    <w:p>
      <w:r>
        <w:rPr>
          <w:b w:val="0"/>
        </w:rPr>
        <w:t>Juros, multa, correção e tarifa têm componentes próprios e fundamento identificável. Desconto incondicional já embutido no principal não é aplicado novamente; desconto de quitação depende de sua condição. Desconto comercial pode alterar custo e preço contratual; desconto financeiro pode exigir natureza diversa. A classificação depende de D07 e D08.</w:t>
      </w:r>
    </w:p>
    <w:p>
      <w:r>
        <w:rPr>
          <w:b w:val="0"/>
        </w:rPr>
        <w:t>Estorno é um evento novo ligado ao original. Estornar lançamento incorreto não prova devolução de dinheiro; a devolução exige movimento de caixa próprio. A reversão da liquidação reabre os componentes anteriormente pagos, inclusive principal e encargos que continuem devidos. O reconhecimento de juros, multa ou correção só é cancelado se a obrigação correspondente deixar de existir. O desconto é mantido ou revertido conforme sua condição documental.</w:t>
      </w:r>
    </w:p>
    <w:p>
      <w:r>
        <w:rPr>
          <w:b w:val="0"/>
        </w:rPr>
        <w:t>Cancelar nota ou registro não extingue automaticamente serviço executado, dívida ou contrato. Primeiro determinar se houve substituição documental, desfazimento econômico, perda, devolução ou erro. Se uma obrigação já paga deixar de existir, reconhecer o crédito ou restituição devida e manter o desembolso histórico até a devolução efetiva. Não apagar títulos quitados para reduzir o acumulado.</w:t>
      </w:r>
    </w:p>
    <w:p>
      <w:pPr>
        <w:pStyle w:val="Heading2"/>
      </w:pPr>
      <w:r>
        <w:rPr>
          <w:b w:val="0"/>
        </w:rPr>
        <w:t>8 4 Aditivos recorrências e devoluções</w:t>
      </w:r>
    </w:p>
    <w:p>
      <w:r>
        <w:rPr>
          <w:b w:val="0"/>
        </w:rPr>
        <w:t>Aditivo aprovado altera o preço, prazo ou escopo do contrato a partir de sua vigência. Não cria custo incorrido nem pagamento pela assinatura. Valores já reconhecidos só são alterados quando o aditivo efetivamente os alcançar e houver ajuste documentado. Proposta de aditivo ainda não aprovada aparece como risco ou cenário, sem ser tratada como compromisso firme.</w:t>
      </w:r>
    </w:p>
    <w:p>
      <w:r>
        <w:rPr>
          <w:b w:val="0"/>
        </w:rPr>
        <w:t>Despesas recorrentes precisam de agenda por competência, período de cobertura e chave da ocorrência. Quando surgir o título de um mês já previsto, a ocorrência substitui a previsão daquele mês. Devoluções de materiais e créditos de fornecedor corrigem estoque, custo, obrigação e caixa conforme o evento real, sem pressupor que todos ocorram na mesma data.</w:t>
      </w:r>
    </w:p>
    <w:p>
      <w:pPr>
        <w:pStyle w:val="Heading2"/>
      </w:pPr>
      <w:r>
        <w:rPr>
          <w:b w:val="0"/>
        </w:rPr>
        <w:t>8 5 Recebimentos e operações sem caixa</w:t>
      </w:r>
    </w:p>
    <w:p>
      <w:r>
        <w:rPr>
          <w:b w:val="0"/>
        </w:rPr>
        <w:t>Venda, recebível, baixa, entrada bancária e receita reconhecida são eventos diferentes. Uma permuta pode liquidar parte do preço sem entrada de dinheiro; precisa de avaliação, documentos e vínculo próprios. Crédito, compensação, cessão de recebíveis e antecipação bancária devem preservar a parcela original para impedir contagem simultânea como recebimento de cliente e dinheiro de financiamento.</w:t>
      </w:r>
    </w:p>
    <w:p>
      <w:r>
        <w:rPr>
          <w:b w:val="0"/>
        </w:rPr>
        <w:t>Na antecipação ou cessão, registrar origem dos recursos, juros, tarifas, responsabilidade por inadimplência e direitos que permanecem. A baixa contábil do recebível não será presumida. Distrato retira os direitos efetivamente cancelados e gera obrigação de restituição quando devida. Chargeback ou devolução reabre o recebível somente se o direito persistir; caso contrário, registrar a natureza econômica correta.</w:t>
      </w:r>
    </w:p>
    <w:p>
      <w:r>
        <w:rPr>
          <w:b w:val="0"/>
        </w:rPr>
        <w:t>Receita contábil depende da política aplicável à transferência dos bens ou serviços, não do calendário de parcelas. Não configurar percentual de reconhecimento imobiliário, regime tributário ou reconhecimento integral na assinatura sem validação do contador. [N4]</w:t>
      </w:r>
    </w:p>
    <w:p>
      <w:pPr>
        <w:pStyle w:val="Heading2"/>
      </w:pPr>
      <w:r>
        <w:rPr>
          <w:b w:val="0"/>
        </w:rPr>
        <w:t>8 6 Transferências próprias e entre empresas</w:t>
      </w:r>
    </w:p>
    <w:p>
      <w:r>
        <w:rPr>
          <w:b w:val="0"/>
        </w:rPr>
        <w:t>Transferência entre contas do mesmo titular movimenta as duas contas e tem vínculo único. O principal não integra entradas e saídas externas consolidadas; tarifa continua saída externa. Se as pontas caírem em dias diferentes, apresentar valor em trânsito com evidência e indisponibilidade correspondente. Não inventar crédito bancário para fechar o consolidado. [N2]</w:t>
      </w:r>
    </w:p>
    <w:p>
      <w:r>
        <w:rPr>
          <w:b w:val="0"/>
        </w:rPr>
        <w:t>Transferência entre CNPJs deve ser classificada como mútuo, aporte, reembolso, pagamento por conta de terceiro ou outra natureza comprovada. Mantém efeitos nos relatórios de cada entidade e só pode ser eliminada no consolidado aprovado que contenha ambas as partes e suas contrapartidas. Transferência gerencial entre obras é reapropriação, não movimento bancário. Uma conta compartilhada não produz automaticamente um saldo bancário por obra.</w:t>
      </w:r>
    </w:p>
    <w:p>
      <w:pPr>
        <w:pStyle w:val="Heading1"/>
      </w:pPr>
      <w:r>
        <w:rPr>
          <w:b w:val="0"/>
        </w:rPr>
        <w:t>9 Apropriação por obra e rateios</w:t>
      </w:r>
    </w:p>
    <w:p>
      <w:r>
        <w:rPr>
          <w:b w:val="0"/>
        </w:rPr>
        <w:t>A obra é o destino econômico; a entidade é a titular jurídica; a conta é o meio de pagamento. Identificar obra pela cadeia comprovada de solicitação, pedido, recebimento, documento, contrato, medição ou ordem de serviço. CNPJ da matriz e banco pagador não bastam para distinguir Flow, Alma ou administração. O legado Flow padrão exige a deliberação D01. [S2]</w:t>
      </w:r>
    </w:p>
    <w:p>
      <w:r>
        <w:rPr>
          <w:b w:val="0"/>
        </w:rPr>
        <w:t>Cada alocação guarda obra, EAP, natureza, valor, critério, base de cálculo, vigência, versão e aprovador. A soma das alocações conhecidas mais a parcela pendente deve ser igual ao valor apropriável. Um rateio validado fecha em 100% e no centavo. Distribuir resíduos por método determinístico aprovado, por exemplo maior resto com desempate estável, sem alterar o total.</w:t>
      </w:r>
    </w:p>
    <w:p>
      <w:r>
        <w:rPr>
          <w:b w:val="0"/>
        </w:rPr>
        <w:t>Custos comuns precisam de critério econômico aprovado: medição de consumo, horas, área, quantidade ou outro direcionador pertinente. Não presumir divisão igual nem usar faturamento como padrão universal. Administração é centro próprio; sua eventual distribuição para obras fica explícita e separada do custo direto.</w:t>
      </w:r>
    </w:p>
    <w:p>
      <w:r>
        <w:rPr>
          <w:b w:val="0"/>
        </w:rPr>
        <w:t>Títulos e pagamentos herdam a referência econômica, mas não criam novo custo. A distribuição de pagamentos parciais pode seguir alocação expressa ou regra proporcional aprovada. Juros, multas, descontos e tarifas exigem natureza e rateio próprios. Não somar o documento pai integral e suas alocações.</w:t>
      </w:r>
    </w:p>
    <w:p>
      <w:pPr>
        <w:keepNext/>
        <w:spacing w:before="80" w:after="160"/>
      </w:pPr>
      <m:oMath>
        <m:r>
          <m:rPr>
            <m:sty m:val="p"/>
          </m:rPr>
          <m:t xml:space="preserve">Total da entidade = obras + administração e centros comuns + valores não classificados</m:t>
        </m:r>
      </m:oMath>
    </w:p>
    <w:p>
      <w:r>
        <w:rPr>
          <w:b w:val="0"/>
        </w:rPr>
        <w:t>Manter pendências distintas: sem entidade, sem obra, sem EAP/natureza, rateio incompleto e movimento bancário não identificado. Um débito bancário de R$ 8.000 sem obra continua no caixa da entidade em “saídas a classificar”; não desaparece nem é atribuído ao Flow. Registros sem entidade ficam em quarentena de consolidação, sem perder o original. Importar exceções para investigação não significa validá-las.</w:t>
      </w:r>
    </w:p>
    <w:p>
      <w:pPr>
        <w:pStyle w:val="Heading1"/>
      </w:pPr>
      <w:r>
        <w:rPr>
          <w:b w:val="0"/>
        </w:rPr>
        <w:t>10 Fechamento e correção de períodos</w:t>
      </w:r>
    </w:p>
    <w:p>
      <w:r>
        <w:rPr>
          <w:b w:val="0"/>
        </w:rPr>
        <w:t>O fechamento exige período, entidade, contas, responsáveis, conciliação e lista de exceções aprovadas. A versão fechada guarda fontes, regras, saldos, vínculos e apropriações. Ficam bloqueadas exclusão, mudança retroativa silenciosa de valor, data, obra, rateio e natureza, inclusive por reimportação.</w:t>
      </w:r>
    </w:p>
    <w:p>
      <w:r>
        <w:rPr>
          <w:b w:val="0"/>
        </w:rPr>
        <w:t>Aprovar uma exceção autoriza uso ou fechamento condicionado da posição; não transforma ausência em zero nem altera o status de conciliação ou completude. A lacuna permanece visível nas versões aprovadas até ser resolvida.</w:t>
      </w:r>
    </w:p>
    <w:p>
      <w:r>
        <w:rPr>
          <w:b w:val="0"/>
        </w:rPr>
        <w:t>Correção de período fechado gera solicitação ligada ao original, com fato, valor, período econômico, data de descoberta, efeito esperado e aprovador. O financeiro e o contador determinam reabertura controlada, reapresentação e/ou forma contábil do ajuste. A versão anterior permanece consultável e a nova apresenta a ponte das diferenças.</w:t>
      </w:r>
    </w:p>
    <w:p>
      <w:r>
        <w:rPr>
          <w:b w:val="0"/>
        </w:rPr>
        <w:t>Informação nova que muda a estimativa de custo futuro atualiza a previsão vigente. Erro anterior, como nota indevidamente omitida ou obra errada, segue o fluxo de retificação. Não lançar automaticamente qualquer erro passado como despesa do mês atual; natureza e materialidade afetam o tratamento. [N3]</w:t>
      </w:r>
    </w:p>
    <w:p>
      <w:r>
        <w:rPr>
          <w:b w:val="0"/>
        </w:rPr>
        <w:t>Exemplo: setembro foi fechado com R$ 500.000 de custo. Em outubro, identifica-se serviço de setembro de R$ 30.000 que deveria constar daquela posição. O sistema preserva a versão de R$ 500.000; se a retificação for aprovada, a posição reapresentada será R$ 530.000 com diferença de R$ 30.000. O pagamento continua na data em que efetivamente ocorrer. Esse controle de versões não decide sozinho a escrituração contábil.</w:t>
      </w:r>
    </w:p>
    <w:p>
      <w:pPr>
        <w:pStyle w:val="Heading1"/>
      </w:pPr>
      <w:r>
        <w:rPr>
          <w:b w:val="0"/>
        </w:rPr>
        <w:t>11 Dados incompletos e apresentação dos resultados</w:t>
      </w:r>
    </w:p>
    <w:p>
      <w:pPr>
        <w:keepNext/>
      </w:pPr>
      <w:r>
        <w:rPr>
          <w:b w:val="0"/>
        </w:rPr>
        <w:t>A condição de qualidade é avaliada por indicador, entidade, obra, período e versão. Um banco pode estar conciliado enquanto o custo por obra permanece incompleto. O sistema deve distinguir valor confirmado, valor informado ainda não confirmado, estimativa e valor desconhecido. Ausência de dado não vira zero.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95" w:type="dxa"/>
          <w:bottom w:w="95" w:type="dxa"/>
          <w:right w:w="95" w:type="dxa"/>
        </w:tblCellMar>
      </w:tblPr>
      <w:tblGrid>
        <w:gridCol w:w="3168"/>
        <w:gridCol w:w="6912"/>
      </w:tblGrid>
      <w:tr>
        <w:trPr>
          <w:cantSplit/>
          <w:tblHeader/>
        </w:trPr>
        <w:tc>
          <w:tcPr>
            <w:tcW w:type="dxa" w:w="3168"/>
            <w:vAlign w:val="center"/>
            <w:shd w:fill="203F50"/>
          </w:tcPr>
          <w:p>
            <w:pPr>
              <w:widowControl/>
              <w:spacing w:line="245" w:lineRule="auto" w:before="20" w:after="20"/>
            </w:pPr>
            <w:r>
              <w:rPr>
                <w:rFonts w:ascii="Arial" w:hAnsi="Arial"/>
                <w:b/>
                <w:color w:val="FFFFFF"/>
                <w:sz w:val="19"/>
              </w:rPr>
              <w:t>Situação</w:t>
            </w:r>
          </w:p>
        </w:tc>
        <w:tc>
          <w:tcPr>
            <w:tcW w:type="dxa" w:w="6912"/>
            <w:vAlign w:val="center"/>
            <w:shd w:fill="203F50"/>
          </w:tcPr>
          <w:p>
            <w:pPr>
              <w:widowControl/>
              <w:spacing w:line="245" w:lineRule="auto" w:before="20" w:after="20"/>
            </w:pPr>
            <w:r>
              <w:rPr>
                <w:rFonts w:ascii="Arial" w:hAnsi="Arial"/>
                <w:b/>
                <w:color w:val="FFFFFF"/>
                <w:sz w:val="19"/>
              </w:rPr>
              <w:t>Comportamento obrigatório proposto</w:t>
            </w:r>
          </w:p>
        </w:tc>
      </w:tr>
      <w:tr>
        <w:trPr>
          <w:cantSplit/>
        </w:trPr>
        <w:tc>
          <w:tcPr>
            <w:tcW w:type="dxa" w:w="3168"/>
            <w:vAlign w:val="center"/>
          </w:tcPr>
          <w:p>
            <w:pPr>
              <w:widowControl/>
              <w:spacing w:line="245" w:lineRule="auto" w:before="20" w:after="20"/>
            </w:pPr>
            <w:r>
              <w:rPr>
                <w:rFonts w:ascii="Arial" w:hAnsi="Arial"/>
                <w:sz w:val="19"/>
              </w:rPr>
              <w:t>Extrato ou saldo inicial ausente</w:t>
            </w:r>
          </w:p>
        </w:tc>
        <w:tc>
          <w:tcPr>
            <w:tcW w:type="dxa" w:w="6912"/>
            <w:vAlign w:val="center"/>
          </w:tcPr>
          <w:p>
            <w:pPr>
              <w:widowControl/>
              <w:spacing w:line="245" w:lineRule="auto" w:before="20" w:after="20"/>
            </w:pPr>
            <w:r>
              <w:rPr>
                <w:rFonts w:ascii="Arial" w:hAnsi="Arial"/>
                <w:sz w:val="19"/>
              </w:rPr>
              <w:t>Informar cobertura faltante. Apresentar movimentos conhecidos, mas não certificar saldo reconstruído.</w:t>
            </w:r>
          </w:p>
        </w:tc>
      </w:tr>
      <w:tr>
        <w:trPr>
          <w:cantSplit/>
        </w:trPr>
        <w:tc>
          <w:tcPr>
            <w:tcW w:type="dxa" w:w="3168"/>
            <w:vAlign w:val="center"/>
            <w:shd w:fill="F3F5F6"/>
          </w:tcPr>
          <w:p>
            <w:pPr>
              <w:widowControl/>
              <w:spacing w:line="245" w:lineRule="auto" w:before="20" w:after="20"/>
            </w:pPr>
            <w:r>
              <w:rPr>
                <w:rFonts w:ascii="Arial" w:hAnsi="Arial"/>
                <w:sz w:val="19"/>
              </w:rPr>
              <w:t>Baixa sem histórico ou data</w:t>
            </w:r>
          </w:p>
        </w:tc>
        <w:tc>
          <w:tcPr>
            <w:tcW w:type="dxa" w:w="6912"/>
            <w:vAlign w:val="center"/>
            <w:shd w:fill="F3F5F6"/>
          </w:tcPr>
          <w:p>
            <w:pPr>
              <w:widowControl/>
              <w:spacing w:line="245" w:lineRule="auto" w:before="20" w:after="20"/>
            </w:pPr>
            <w:r>
              <w:rPr>
                <w:rFonts w:ascii="Arial" w:hAnsi="Arial"/>
                <w:sz w:val="19"/>
              </w:rPr>
              <w:t>Não reconstruir pagamento passado por suposição. Identificar saldo informado e impedir classificação como caixa confirmado.</w:t>
            </w:r>
          </w:p>
        </w:tc>
      </w:tr>
      <w:tr>
        <w:trPr>
          <w:cantSplit/>
        </w:trPr>
        <w:tc>
          <w:tcPr>
            <w:tcW w:type="dxa" w:w="3168"/>
            <w:vAlign w:val="center"/>
          </w:tcPr>
          <w:p>
            <w:pPr>
              <w:widowControl/>
              <w:spacing w:line="245" w:lineRule="auto" w:before="20" w:after="20"/>
            </w:pPr>
            <w:r>
              <w:rPr>
                <w:rFonts w:ascii="Arial" w:hAnsi="Arial"/>
                <w:sz w:val="19"/>
              </w:rPr>
              <w:t>Obra ou rateio pendente</w:t>
            </w:r>
          </w:p>
        </w:tc>
        <w:tc>
          <w:tcPr>
            <w:tcW w:type="dxa" w:w="6912"/>
            <w:vAlign w:val="center"/>
          </w:tcPr>
          <w:p>
            <w:pPr>
              <w:widowControl/>
              <w:spacing w:line="245" w:lineRule="auto" w:before="20" w:after="20"/>
            </w:pPr>
            <w:r>
              <w:rPr>
                <w:rFonts w:ascii="Arial" w:hAnsi="Arial"/>
                <w:sz w:val="19"/>
              </w:rPr>
              <w:t>Manter valor no total conhecido da entidade e divulgar a parcela que não pôde ser atribuída. Não certificar o custo completo da obra.</w:t>
            </w:r>
          </w:p>
        </w:tc>
      </w:tr>
      <w:tr>
        <w:trPr>
          <w:cantSplit/>
        </w:trPr>
        <w:tc>
          <w:tcPr>
            <w:tcW w:type="dxa" w:w="3168"/>
            <w:vAlign w:val="center"/>
            <w:shd w:fill="F3F5F6"/>
          </w:tcPr>
          <w:p>
            <w:pPr>
              <w:widowControl/>
              <w:spacing w:line="245" w:lineRule="auto" w:before="20" w:after="20"/>
            </w:pPr>
            <w:r>
              <w:rPr>
                <w:rFonts w:ascii="Arial" w:hAnsi="Arial"/>
                <w:sz w:val="19"/>
              </w:rPr>
              <w:t>Contrato sem vínculo com títulos</w:t>
            </w:r>
          </w:p>
        </w:tc>
        <w:tc>
          <w:tcPr>
            <w:tcW w:type="dxa" w:w="6912"/>
            <w:vAlign w:val="center"/>
            <w:shd w:fill="F3F5F6"/>
          </w:tcPr>
          <w:p>
            <w:pPr>
              <w:widowControl/>
              <w:spacing w:line="245" w:lineRule="auto" w:before="20" w:after="20"/>
            </w:pPr>
            <w:r>
              <w:rPr>
                <w:rFonts w:ascii="Arial" w:hAnsi="Arial"/>
                <w:sz w:val="19"/>
              </w:rPr>
              <w:t>Mostrar compromissos e títulos separadamente. Não publicar Q consolidado como completo.</w:t>
            </w:r>
          </w:p>
        </w:tc>
      </w:tr>
      <w:tr>
        <w:trPr>
          <w:cantSplit/>
        </w:trPr>
        <w:tc>
          <w:tcPr>
            <w:tcW w:type="dxa" w:w="3168"/>
            <w:vAlign w:val="center"/>
          </w:tcPr>
          <w:p>
            <w:pPr>
              <w:widowControl/>
              <w:spacing w:line="245" w:lineRule="auto" w:before="20" w:after="20"/>
            </w:pPr>
            <w:r>
              <w:rPr>
                <w:rFonts w:ascii="Arial" w:hAnsi="Arial"/>
                <w:sz w:val="19"/>
              </w:rPr>
              <w:t>Previsão sem alcance até conclusão</w:t>
            </w:r>
          </w:p>
        </w:tc>
        <w:tc>
          <w:tcPr>
            <w:tcW w:type="dxa" w:w="6912"/>
            <w:vAlign w:val="center"/>
          </w:tcPr>
          <w:p>
            <w:pPr>
              <w:widowControl/>
              <w:spacing w:line="245" w:lineRule="auto" w:before="20" w:after="20"/>
            </w:pPr>
            <w:r>
              <w:rPr>
                <w:rFonts w:ascii="Arial" w:hAnsi="Arial"/>
                <w:sz w:val="19"/>
              </w:rPr>
              <w:t>Apresentar horizonte disponível e declarar custo final e necessidade total de recursos incompletos.</w:t>
            </w:r>
          </w:p>
        </w:tc>
      </w:tr>
      <w:tr>
        <w:trPr>
          <w:cantSplit/>
        </w:trPr>
        <w:tc>
          <w:tcPr>
            <w:tcW w:type="dxa" w:w="3168"/>
            <w:vAlign w:val="center"/>
            <w:shd w:fill="F3F5F6"/>
          </w:tcPr>
          <w:p>
            <w:pPr>
              <w:widowControl/>
              <w:spacing w:line="245" w:lineRule="auto" w:before="20" w:after="20"/>
            </w:pPr>
            <w:r>
              <w:rPr>
                <w:rFonts w:ascii="Arial" w:hAnsi="Arial"/>
                <w:sz w:val="19"/>
              </w:rPr>
              <w:t>Possível duplicidade ou PREVIS ambíguo</w:t>
            </w:r>
          </w:p>
        </w:tc>
        <w:tc>
          <w:tcPr>
            <w:tcW w:type="dxa" w:w="6912"/>
            <w:vAlign w:val="center"/>
            <w:shd w:fill="F3F5F6"/>
          </w:tcPr>
          <w:p>
            <w:pPr>
              <w:widowControl/>
              <w:spacing w:line="245" w:lineRule="auto" w:before="20" w:after="20"/>
            </w:pPr>
            <w:r>
              <w:rPr>
                <w:rFonts w:ascii="Arial" w:hAnsi="Arial"/>
                <w:sz w:val="19"/>
              </w:rPr>
              <w:t>Manter exceção com valor em revisão; não escolher silenciosamente entre somar ou excluir.</w:t>
            </w:r>
          </w:p>
        </w:tc>
      </w:tr>
      <w:tr>
        <w:trPr>
          <w:cantSplit/>
        </w:trPr>
        <w:tc>
          <w:tcPr>
            <w:tcW w:type="dxa" w:w="3168"/>
            <w:vAlign w:val="center"/>
          </w:tcPr>
          <w:p>
            <w:pPr>
              <w:widowControl/>
              <w:spacing w:line="245" w:lineRule="auto" w:before="20" w:after="20"/>
            </w:pPr>
            <w:r>
              <w:rPr>
                <w:rFonts w:ascii="Arial" w:hAnsi="Arial"/>
                <w:sz w:val="19"/>
              </w:rPr>
              <w:t>Cortes ou bases monetárias diferentes</w:t>
            </w:r>
          </w:p>
        </w:tc>
        <w:tc>
          <w:tcPr>
            <w:tcW w:type="dxa" w:w="6912"/>
            <w:vAlign w:val="center"/>
          </w:tcPr>
          <w:p>
            <w:pPr>
              <w:widowControl/>
              <w:spacing w:line="245" w:lineRule="auto" w:before="20" w:after="20"/>
            </w:pPr>
            <w:r>
              <w:rPr>
                <w:rFonts w:ascii="Arial" w:hAnsi="Arial"/>
                <w:sz w:val="19"/>
              </w:rPr>
              <w:t>Suspender comparação direta; apresentar ponte de cobertura e ajustes comprovados.</w:t>
            </w:r>
          </w:p>
        </w:tc>
      </w:tr>
      <w:tr>
        <w:trPr>
          <w:cantSplit/>
        </w:trPr>
        <w:tc>
          <w:tcPr>
            <w:tcW w:type="dxa" w:w="3168"/>
            <w:vAlign w:val="center"/>
            <w:shd w:fill="F3F5F6"/>
          </w:tcPr>
          <w:p>
            <w:pPr>
              <w:widowControl/>
              <w:spacing w:line="245" w:lineRule="auto" w:before="20" w:after="20"/>
            </w:pPr>
            <w:r>
              <w:rPr>
                <w:rFonts w:ascii="Arial" w:hAnsi="Arial"/>
                <w:sz w:val="19"/>
              </w:rPr>
              <w:t>Orçamento com fórmula quebrada</w:t>
            </w:r>
          </w:p>
        </w:tc>
        <w:tc>
          <w:tcPr>
            <w:tcW w:type="dxa" w:w="6912"/>
            <w:vAlign w:val="center"/>
            <w:shd w:fill="F3F5F6"/>
          </w:tcPr>
          <w:p>
            <w:pPr>
              <w:widowControl/>
              <w:spacing w:line="245" w:lineRule="auto" w:before="20" w:after="20"/>
            </w:pPr>
            <w:r>
              <w:rPr>
                <w:rFonts w:ascii="Arial" w:hAnsi="Arial"/>
                <w:sz w:val="19"/>
              </w:rPr>
              <w:t>Indicar qual base não foi validada; não usar zero em lugar de erro nem produzir percentual enganoso.</w:t>
            </w:r>
          </w:p>
        </w:tc>
      </w:tr>
      <w:tr>
        <w:trPr>
          <w:cantSplit/>
        </w:trPr>
        <w:tc>
          <w:tcPr>
            <w:tcW w:type="dxa" w:w="3168"/>
            <w:vAlign w:val="center"/>
          </w:tcPr>
          <w:p>
            <w:pPr>
              <w:widowControl/>
              <w:spacing w:line="245" w:lineRule="auto" w:before="20" w:after="20"/>
            </w:pPr>
            <w:r>
              <w:rPr>
                <w:rFonts w:ascii="Arial" w:hAnsi="Arial"/>
                <w:sz w:val="19"/>
              </w:rPr>
              <w:t>Índice, vencimento ou valor ausente</w:t>
            </w:r>
          </w:p>
        </w:tc>
        <w:tc>
          <w:tcPr>
            <w:tcW w:type="dxa" w:w="6912"/>
            <w:vAlign w:val="center"/>
          </w:tcPr>
          <w:p>
            <w:pPr>
              <w:widowControl/>
              <w:spacing w:line="245" w:lineRule="auto" w:before="20" w:after="20"/>
            </w:pPr>
            <w:r>
              <w:rPr>
                <w:rFonts w:ascii="Arial" w:hAnsi="Arial"/>
                <w:sz w:val="19"/>
              </w:rPr>
              <w:t>Manter parcela sem cálculo ou sem data, quantificar quando possível e não inventar cronograma.</w:t>
            </w:r>
          </w:p>
        </w:tc>
      </w:tr>
      <w:tr>
        <w:trPr>
          <w:cantSplit/>
        </w:trPr>
        <w:tc>
          <w:tcPr>
            <w:tcW w:type="dxa" w:w="3168"/>
            <w:vAlign w:val="center"/>
            <w:shd w:fill="F3F5F6"/>
          </w:tcPr>
          <w:p>
            <w:pPr>
              <w:widowControl/>
              <w:spacing w:line="245" w:lineRule="auto" w:before="20" w:after="20"/>
            </w:pPr>
            <w:r>
              <w:rPr>
                <w:rFonts w:ascii="Arial" w:hAnsi="Arial"/>
                <w:sz w:val="19"/>
              </w:rPr>
              <w:t>Histórico parcial de snapshots</w:t>
            </w:r>
          </w:p>
        </w:tc>
        <w:tc>
          <w:tcPr>
            <w:tcW w:type="dxa" w:w="6912"/>
            <w:vAlign w:val="center"/>
            <w:shd w:fill="F3F5F6"/>
          </w:tcPr>
          <w:p>
            <w:pPr>
              <w:widowControl/>
              <w:spacing w:line="245" w:lineRule="auto" w:before="20" w:after="20"/>
            </w:pPr>
            <w:r>
              <w:rPr>
                <w:rFonts w:ascii="Arial" w:hAnsi="Arial"/>
                <w:sz w:val="19"/>
              </w:rPr>
              <w:t>Declarar que a posição histórica não é reconstituível com a evidência disponível.</w:t>
            </w:r>
          </w:p>
        </w:tc>
      </w:tr>
    </w:tbl>
    <w:p>
      <w:pPr>
        <w:spacing w:after="40" w:before="0" w:line="96" w:lineRule="auto"/>
      </w:pPr>
      <w:r>
        <w:rPr>
          <w:sz w:val="4"/>
        </w:rPr>
      </w:r>
    </w:p>
    <w:p>
      <w:r>
        <w:rPr>
          <w:b w:val="0"/>
        </w:rPr>
        <w:t>Toda apresentação deve informar valor ou subtotal conhecido, natureza da medida, T, atualização das fontes, filtros, montante e quantidade em revisão quando mensuráveis, lacunas e regra aplicada. Um indicador pode ser exibido como parcial e útil sem receber selo de completo. A política D12 define quais lacunas impedem o fechamento ou publicação definitiva.</w:t>
      </w:r>
    </w:p>
    <w:p>
      <w:r>
        <w:rPr>
          <w:b w:val="0"/>
        </w:rPr>
        <w:t>A IA do Elos OS deve consultar o mesmo cálculo validado usado nos relatórios. Sua resposta deve abrir a composição, indicar a data e citar registros ou relatórios internos rastreáveis. Exemplo de resposta adequada: “As obrigações identificadas somam R$ 140 mil. A projeção até a conclusão não foi validada porque faltam vínculos de contratos e a previsão de parte do período.” O valor desse exemplo é fictício.</w:t>
      </w:r>
    </w:p>
    <w:p>
      <w:pPr>
        <w:pStyle w:val="Heading1"/>
      </w:pPr>
      <w:r>
        <w:rPr>
          <w:b w:val="0"/>
        </w:rPr>
        <w:t>12 Exemplos numéricos para homologação</w:t>
      </w:r>
    </w:p>
    <w:p>
      <w:pPr>
        <w:pStyle w:val="Heading2"/>
      </w:pPr>
      <w:r>
        <w:rPr>
          <w:b w:val="0"/>
        </w:rPr>
        <w:t>12 1 Contrato antecipação e execução</w:t>
      </w:r>
    </w:p>
    <w:p>
      <w:pPr>
        <w:keepNext/>
      </w:pPr>
      <w:r>
        <w:rPr>
          <w:b w:val="0"/>
        </w:rPr>
        <w:t>Contrato firme de R$ 100.000, sem encargos e sem execução inicial. Há adiantamento exigível de R$ 20.000. Posteriormente é aceita medição de R$ 40.000. A tabela usa R$ mil.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95" w:type="dxa"/>
          <w:bottom w:w="95" w:type="dxa"/>
          <w:right w:w="95" w:type="dxa"/>
        </w:tblCellMar>
      </w:tblPr>
      <w:tblGrid>
        <w:gridCol w:w="3240"/>
        <w:gridCol w:w="1152"/>
        <w:gridCol w:w="1008"/>
        <w:gridCol w:w="1152"/>
        <w:gridCol w:w="1224"/>
        <w:gridCol w:w="1152"/>
        <w:gridCol w:w="1152"/>
      </w:tblGrid>
      <w:tr>
        <w:trPr>
          <w:cantSplit/>
          <w:tblHeader/>
        </w:trPr>
        <w:tc>
          <w:tcPr>
            <w:tcW w:type="dxa" w:w="3240"/>
            <w:vAlign w:val="center"/>
            <w:shd w:fill="203F50"/>
          </w:tcPr>
          <w:p>
            <w:pPr>
              <w:widowControl/>
              <w:spacing w:line="245" w:lineRule="auto" w:before="20" w:after="20"/>
            </w:pPr>
            <w:r>
              <w:rPr>
                <w:rFonts w:ascii="Arial" w:hAnsi="Arial"/>
                <w:b/>
                <w:color w:val="FFFFFF"/>
                <w:sz w:val="19"/>
              </w:rPr>
              <w:t>Estado</w:t>
            </w:r>
          </w:p>
        </w:tc>
        <w:tc>
          <w:tcPr>
            <w:tcW w:type="dxa" w:w="1152"/>
            <w:vAlign w:val="center"/>
            <w:shd w:fill="203F50"/>
          </w:tcPr>
          <w:p>
            <w:pPr>
              <w:widowControl/>
              <w:spacing w:line="245" w:lineRule="auto" w:before="20" w:after="20"/>
              <w:jc w:val="center"/>
            </w:pPr>
            <w:r>
              <w:rPr>
                <w:rFonts w:ascii="Arial" w:hAnsi="Arial"/>
                <w:b/>
                <w:color w:val="FFFFFF"/>
                <w:sz w:val="19"/>
              </w:rPr>
              <w:t>Pago H</w:t>
            </w:r>
          </w:p>
        </w:tc>
        <w:tc>
          <w:tcPr>
            <w:tcW w:type="dxa" w:w="1008"/>
            <w:vAlign w:val="center"/>
            <w:shd w:fill="203F50"/>
          </w:tcPr>
          <w:p>
            <w:pPr>
              <w:widowControl/>
              <w:spacing w:line="245" w:lineRule="auto" w:before="20" w:after="20"/>
              <w:jc w:val="center"/>
            </w:pPr>
            <w:r>
              <w:rPr>
                <w:rFonts w:ascii="Arial" w:hAnsi="Arial"/>
                <w:b/>
                <w:color w:val="FFFFFF"/>
                <w:sz w:val="19"/>
              </w:rPr>
              <w:t>Aberto R</w:t>
            </w:r>
          </w:p>
        </w:tc>
        <w:tc>
          <w:tcPr>
            <w:tcW w:type="dxa" w:w="1152"/>
            <w:vAlign w:val="center"/>
            <w:shd w:fill="203F50"/>
          </w:tcPr>
          <w:p>
            <w:pPr>
              <w:widowControl/>
              <w:spacing w:line="245" w:lineRule="auto" w:before="20" w:after="20"/>
              <w:jc w:val="center"/>
            </w:pPr>
            <w:r>
              <w:rPr>
                <w:rFonts w:ascii="Arial" w:hAnsi="Arial"/>
                <w:b/>
                <w:color w:val="FFFFFF"/>
                <w:sz w:val="19"/>
              </w:rPr>
              <w:t>Futuro C</w:t>
            </w:r>
          </w:p>
        </w:tc>
        <w:tc>
          <w:tcPr>
            <w:tcW w:type="dxa" w:w="1224"/>
            <w:vAlign w:val="center"/>
            <w:shd w:fill="203F50"/>
          </w:tcPr>
          <w:p>
            <w:pPr>
              <w:widowControl/>
              <w:spacing w:line="245" w:lineRule="auto" w:before="20" w:after="20"/>
              <w:jc w:val="center"/>
            </w:pPr>
            <w:r>
              <w:rPr>
                <w:rFonts w:ascii="Arial" w:hAnsi="Arial"/>
                <w:b/>
                <w:color w:val="FFFFFF"/>
                <w:sz w:val="19"/>
              </w:rPr>
              <w:t>Caixa Q</w:t>
            </w:r>
          </w:p>
        </w:tc>
        <w:tc>
          <w:tcPr>
            <w:tcW w:type="dxa" w:w="1152"/>
            <w:vAlign w:val="center"/>
            <w:shd w:fill="203F50"/>
          </w:tcPr>
          <w:p>
            <w:pPr>
              <w:widowControl/>
              <w:spacing w:line="245" w:lineRule="auto" w:before="20" w:after="20"/>
              <w:jc w:val="center"/>
            </w:pPr>
            <w:r>
              <w:rPr>
                <w:rFonts w:ascii="Arial" w:hAnsi="Arial"/>
                <w:b/>
                <w:color w:val="FFFFFF"/>
                <w:sz w:val="19"/>
              </w:rPr>
              <w:t>Incorrido</w:t>
            </w:r>
          </w:p>
        </w:tc>
        <w:tc>
          <w:tcPr>
            <w:tcW w:type="dxa" w:w="1152"/>
            <w:vAlign w:val="center"/>
            <w:shd w:fill="203F50"/>
          </w:tcPr>
          <w:p>
            <w:pPr>
              <w:widowControl/>
              <w:spacing w:line="245" w:lineRule="auto" w:before="20" w:after="20"/>
              <w:jc w:val="center"/>
            </w:pPr>
            <w:r>
              <w:rPr>
                <w:rFonts w:ascii="Arial" w:hAnsi="Arial"/>
                <w:b/>
                <w:color w:val="FFFFFF"/>
                <w:sz w:val="19"/>
              </w:rPr>
              <w:t>ETC</w:t>
            </w:r>
          </w:p>
        </w:tc>
      </w:tr>
      <w:tr>
        <w:trPr>
          <w:cantSplit/>
        </w:trPr>
        <w:tc>
          <w:tcPr>
            <w:tcW w:type="dxa" w:w="3240"/>
            <w:vAlign w:val="center"/>
          </w:tcPr>
          <w:p>
            <w:pPr>
              <w:widowControl/>
              <w:spacing w:line="245" w:lineRule="auto" w:before="20" w:after="20"/>
            </w:pPr>
            <w:r>
              <w:rPr>
                <w:rFonts w:ascii="Arial" w:hAnsi="Arial"/>
                <w:sz w:val="19"/>
              </w:rPr>
              <w:t>Contrato sem título</w:t>
            </w:r>
          </w:p>
        </w:tc>
        <w:tc>
          <w:tcPr>
            <w:tcW w:type="dxa" w:w="1152"/>
            <w:vAlign w:val="center"/>
          </w:tcPr>
          <w:p>
            <w:pPr>
              <w:widowControl/>
              <w:spacing w:line="245" w:lineRule="auto" w:before="20" w:after="20"/>
              <w:jc w:val="center"/>
            </w:pPr>
            <w:r>
              <w:rPr>
                <w:rFonts w:ascii="Arial" w:hAnsi="Arial"/>
                <w:sz w:val="19"/>
              </w:rPr>
              <w:t>0</w:t>
            </w:r>
          </w:p>
        </w:tc>
        <w:tc>
          <w:tcPr>
            <w:tcW w:type="dxa" w:w="1008"/>
            <w:vAlign w:val="center"/>
          </w:tcPr>
          <w:p>
            <w:pPr>
              <w:widowControl/>
              <w:spacing w:line="245" w:lineRule="auto" w:before="20" w:after="20"/>
              <w:jc w:val="center"/>
            </w:pPr>
            <w:r>
              <w:rPr>
                <w:rFonts w:ascii="Arial" w:hAnsi="Arial"/>
                <w:sz w:val="19"/>
              </w:rPr>
              <w:t>0</w:t>
            </w:r>
          </w:p>
        </w:tc>
        <w:tc>
          <w:tcPr>
            <w:tcW w:type="dxa" w:w="1152"/>
            <w:vAlign w:val="center"/>
          </w:tcPr>
          <w:p>
            <w:pPr>
              <w:widowControl/>
              <w:spacing w:line="245" w:lineRule="auto" w:before="20" w:after="20"/>
              <w:jc w:val="center"/>
            </w:pPr>
            <w:r>
              <w:rPr>
                <w:rFonts w:ascii="Arial" w:hAnsi="Arial"/>
                <w:sz w:val="19"/>
              </w:rPr>
              <w:t>100</w:t>
            </w:r>
          </w:p>
        </w:tc>
        <w:tc>
          <w:tcPr>
            <w:tcW w:type="dxa" w:w="1224"/>
            <w:vAlign w:val="center"/>
          </w:tcPr>
          <w:p>
            <w:pPr>
              <w:widowControl/>
              <w:spacing w:line="245" w:lineRule="auto" w:before="20" w:after="20"/>
              <w:jc w:val="center"/>
            </w:pPr>
            <w:r>
              <w:rPr>
                <w:rFonts w:ascii="Arial" w:hAnsi="Arial"/>
                <w:sz w:val="19"/>
              </w:rPr>
              <w:t>100</w:t>
            </w:r>
          </w:p>
        </w:tc>
        <w:tc>
          <w:tcPr>
            <w:tcW w:type="dxa" w:w="1152"/>
            <w:vAlign w:val="center"/>
          </w:tcPr>
          <w:p>
            <w:pPr>
              <w:widowControl/>
              <w:spacing w:line="245" w:lineRule="auto" w:before="20" w:after="20"/>
              <w:jc w:val="center"/>
            </w:pPr>
            <w:r>
              <w:rPr>
                <w:rFonts w:ascii="Arial" w:hAnsi="Arial"/>
                <w:sz w:val="19"/>
              </w:rPr>
              <w:t>0</w:t>
            </w:r>
          </w:p>
        </w:tc>
        <w:tc>
          <w:tcPr>
            <w:tcW w:type="dxa" w:w="1152"/>
            <w:vAlign w:val="center"/>
          </w:tcPr>
          <w:p>
            <w:pPr>
              <w:widowControl/>
              <w:spacing w:line="245" w:lineRule="auto" w:before="20" w:after="20"/>
              <w:jc w:val="center"/>
            </w:pPr>
            <w:r>
              <w:rPr>
                <w:rFonts w:ascii="Arial" w:hAnsi="Arial"/>
                <w:sz w:val="19"/>
              </w:rPr>
              <w:t>100</w:t>
            </w:r>
          </w:p>
        </w:tc>
      </w:tr>
      <w:tr>
        <w:trPr>
          <w:cantSplit/>
        </w:trPr>
        <w:tc>
          <w:tcPr>
            <w:tcW w:type="dxa" w:w="3240"/>
            <w:vAlign w:val="center"/>
            <w:shd w:fill="F3F5F6"/>
          </w:tcPr>
          <w:p>
            <w:pPr>
              <w:widowControl/>
              <w:spacing w:line="245" w:lineRule="auto" w:before="20" w:after="20"/>
            </w:pPr>
            <w:r>
              <w:rPr>
                <w:rFonts w:ascii="Arial" w:hAnsi="Arial"/>
                <w:sz w:val="19"/>
              </w:rPr>
              <w:t>Adiantamento titulado e aberto</w:t>
            </w:r>
          </w:p>
        </w:tc>
        <w:tc>
          <w:tcPr>
            <w:tcW w:type="dxa" w:w="1152"/>
            <w:vAlign w:val="center"/>
            <w:shd w:fill="F3F5F6"/>
          </w:tcPr>
          <w:p>
            <w:pPr>
              <w:widowControl/>
              <w:spacing w:line="245" w:lineRule="auto" w:before="20" w:after="20"/>
              <w:jc w:val="center"/>
            </w:pPr>
            <w:r>
              <w:rPr>
                <w:rFonts w:ascii="Arial" w:hAnsi="Arial"/>
                <w:sz w:val="19"/>
              </w:rPr>
              <w:t>0</w:t>
            </w:r>
          </w:p>
        </w:tc>
        <w:tc>
          <w:tcPr>
            <w:tcW w:type="dxa" w:w="1008"/>
            <w:vAlign w:val="center"/>
            <w:shd w:fill="F3F5F6"/>
          </w:tcPr>
          <w:p>
            <w:pPr>
              <w:widowControl/>
              <w:spacing w:line="245" w:lineRule="auto" w:before="20" w:after="20"/>
              <w:jc w:val="center"/>
            </w:pPr>
            <w:r>
              <w:rPr>
                <w:rFonts w:ascii="Arial" w:hAnsi="Arial"/>
                <w:sz w:val="19"/>
              </w:rPr>
              <w:t>20</w:t>
            </w:r>
          </w:p>
        </w:tc>
        <w:tc>
          <w:tcPr>
            <w:tcW w:type="dxa" w:w="1152"/>
            <w:vAlign w:val="center"/>
            <w:shd w:fill="F3F5F6"/>
          </w:tcPr>
          <w:p>
            <w:pPr>
              <w:widowControl/>
              <w:spacing w:line="245" w:lineRule="auto" w:before="20" w:after="20"/>
              <w:jc w:val="center"/>
            </w:pPr>
            <w:r>
              <w:rPr>
                <w:rFonts w:ascii="Arial" w:hAnsi="Arial"/>
                <w:sz w:val="19"/>
              </w:rPr>
              <w:t>80</w:t>
            </w:r>
          </w:p>
        </w:tc>
        <w:tc>
          <w:tcPr>
            <w:tcW w:type="dxa" w:w="1224"/>
            <w:vAlign w:val="center"/>
            <w:shd w:fill="F3F5F6"/>
          </w:tcPr>
          <w:p>
            <w:pPr>
              <w:widowControl/>
              <w:spacing w:line="245" w:lineRule="auto" w:before="20" w:after="20"/>
              <w:jc w:val="center"/>
            </w:pPr>
            <w:r>
              <w:rPr>
                <w:rFonts w:ascii="Arial" w:hAnsi="Arial"/>
                <w:sz w:val="19"/>
              </w:rPr>
              <w:t>100</w:t>
            </w:r>
          </w:p>
        </w:tc>
        <w:tc>
          <w:tcPr>
            <w:tcW w:type="dxa" w:w="1152"/>
            <w:vAlign w:val="center"/>
            <w:shd w:fill="F3F5F6"/>
          </w:tcPr>
          <w:p>
            <w:pPr>
              <w:widowControl/>
              <w:spacing w:line="245" w:lineRule="auto" w:before="20" w:after="20"/>
              <w:jc w:val="center"/>
            </w:pPr>
            <w:r>
              <w:rPr>
                <w:rFonts w:ascii="Arial" w:hAnsi="Arial"/>
                <w:sz w:val="19"/>
              </w:rPr>
              <w:t>0</w:t>
            </w:r>
          </w:p>
        </w:tc>
        <w:tc>
          <w:tcPr>
            <w:tcW w:type="dxa" w:w="1152"/>
            <w:vAlign w:val="center"/>
            <w:shd w:fill="F3F5F6"/>
          </w:tcPr>
          <w:p>
            <w:pPr>
              <w:widowControl/>
              <w:spacing w:line="245" w:lineRule="auto" w:before="20" w:after="20"/>
              <w:jc w:val="center"/>
            </w:pPr>
            <w:r>
              <w:rPr>
                <w:rFonts w:ascii="Arial" w:hAnsi="Arial"/>
                <w:sz w:val="19"/>
              </w:rPr>
              <w:t>100</w:t>
            </w:r>
          </w:p>
        </w:tc>
      </w:tr>
      <w:tr>
        <w:trPr>
          <w:cantSplit/>
        </w:trPr>
        <w:tc>
          <w:tcPr>
            <w:tcW w:type="dxa" w:w="3240"/>
            <w:vAlign w:val="center"/>
          </w:tcPr>
          <w:p>
            <w:pPr>
              <w:widowControl/>
              <w:spacing w:line="245" w:lineRule="auto" w:before="20" w:after="20"/>
            </w:pPr>
            <w:r>
              <w:rPr>
                <w:rFonts w:ascii="Arial" w:hAnsi="Arial"/>
                <w:sz w:val="19"/>
              </w:rPr>
              <w:t>Adiantamento pago</w:t>
            </w:r>
          </w:p>
        </w:tc>
        <w:tc>
          <w:tcPr>
            <w:tcW w:type="dxa" w:w="1152"/>
            <w:vAlign w:val="center"/>
          </w:tcPr>
          <w:p>
            <w:pPr>
              <w:widowControl/>
              <w:spacing w:line="245" w:lineRule="auto" w:before="20" w:after="20"/>
              <w:jc w:val="center"/>
            </w:pPr>
            <w:r>
              <w:rPr>
                <w:rFonts w:ascii="Arial" w:hAnsi="Arial"/>
                <w:sz w:val="19"/>
              </w:rPr>
              <w:t>20</w:t>
            </w:r>
          </w:p>
        </w:tc>
        <w:tc>
          <w:tcPr>
            <w:tcW w:type="dxa" w:w="1008"/>
            <w:vAlign w:val="center"/>
          </w:tcPr>
          <w:p>
            <w:pPr>
              <w:widowControl/>
              <w:spacing w:line="245" w:lineRule="auto" w:before="20" w:after="20"/>
              <w:jc w:val="center"/>
            </w:pPr>
            <w:r>
              <w:rPr>
                <w:rFonts w:ascii="Arial" w:hAnsi="Arial"/>
                <w:sz w:val="19"/>
              </w:rPr>
              <w:t>0</w:t>
            </w:r>
          </w:p>
        </w:tc>
        <w:tc>
          <w:tcPr>
            <w:tcW w:type="dxa" w:w="1152"/>
            <w:vAlign w:val="center"/>
          </w:tcPr>
          <w:p>
            <w:pPr>
              <w:widowControl/>
              <w:spacing w:line="245" w:lineRule="auto" w:before="20" w:after="20"/>
              <w:jc w:val="center"/>
            </w:pPr>
            <w:r>
              <w:rPr>
                <w:rFonts w:ascii="Arial" w:hAnsi="Arial"/>
                <w:sz w:val="19"/>
              </w:rPr>
              <w:t>80</w:t>
            </w:r>
          </w:p>
        </w:tc>
        <w:tc>
          <w:tcPr>
            <w:tcW w:type="dxa" w:w="1224"/>
            <w:vAlign w:val="center"/>
          </w:tcPr>
          <w:p>
            <w:pPr>
              <w:widowControl/>
              <w:spacing w:line="245" w:lineRule="auto" w:before="20" w:after="20"/>
              <w:jc w:val="center"/>
            </w:pPr>
            <w:r>
              <w:rPr>
                <w:rFonts w:ascii="Arial" w:hAnsi="Arial"/>
                <w:sz w:val="19"/>
              </w:rPr>
              <w:t>80</w:t>
            </w:r>
          </w:p>
        </w:tc>
        <w:tc>
          <w:tcPr>
            <w:tcW w:type="dxa" w:w="1152"/>
            <w:vAlign w:val="center"/>
          </w:tcPr>
          <w:p>
            <w:pPr>
              <w:widowControl/>
              <w:spacing w:line="245" w:lineRule="auto" w:before="20" w:after="20"/>
              <w:jc w:val="center"/>
            </w:pPr>
            <w:r>
              <w:rPr>
                <w:rFonts w:ascii="Arial" w:hAnsi="Arial"/>
                <w:sz w:val="19"/>
              </w:rPr>
              <w:t>0</w:t>
            </w:r>
          </w:p>
        </w:tc>
        <w:tc>
          <w:tcPr>
            <w:tcW w:type="dxa" w:w="1152"/>
            <w:vAlign w:val="center"/>
          </w:tcPr>
          <w:p>
            <w:pPr>
              <w:widowControl/>
              <w:spacing w:line="245" w:lineRule="auto" w:before="20" w:after="20"/>
              <w:jc w:val="center"/>
            </w:pPr>
            <w:r>
              <w:rPr>
                <w:rFonts w:ascii="Arial" w:hAnsi="Arial"/>
                <w:sz w:val="19"/>
              </w:rPr>
              <w:t>100</w:t>
            </w:r>
          </w:p>
        </w:tc>
      </w:tr>
      <w:tr>
        <w:trPr>
          <w:cantSplit/>
        </w:trPr>
        <w:tc>
          <w:tcPr>
            <w:tcW w:type="dxa" w:w="3240"/>
            <w:vAlign w:val="center"/>
            <w:shd w:fill="F3F5F6"/>
          </w:tcPr>
          <w:p>
            <w:pPr>
              <w:widowControl/>
              <w:spacing w:line="245" w:lineRule="auto" w:before="20" w:after="20"/>
            </w:pPr>
            <w:r>
              <w:rPr>
                <w:rFonts w:ascii="Arial" w:hAnsi="Arial"/>
                <w:sz w:val="19"/>
              </w:rPr>
              <w:t>Medição 40 com aplicação de 20</w:t>
            </w:r>
          </w:p>
        </w:tc>
        <w:tc>
          <w:tcPr>
            <w:tcW w:type="dxa" w:w="1152"/>
            <w:vAlign w:val="center"/>
            <w:shd w:fill="F3F5F6"/>
          </w:tcPr>
          <w:p>
            <w:pPr>
              <w:widowControl/>
              <w:spacing w:line="245" w:lineRule="auto" w:before="20" w:after="20"/>
              <w:jc w:val="center"/>
            </w:pPr>
            <w:r>
              <w:rPr>
                <w:rFonts w:ascii="Arial" w:hAnsi="Arial"/>
                <w:sz w:val="19"/>
              </w:rPr>
              <w:t>20</w:t>
            </w:r>
          </w:p>
        </w:tc>
        <w:tc>
          <w:tcPr>
            <w:tcW w:type="dxa" w:w="1008"/>
            <w:vAlign w:val="center"/>
            <w:shd w:fill="F3F5F6"/>
          </w:tcPr>
          <w:p>
            <w:pPr>
              <w:widowControl/>
              <w:spacing w:line="245" w:lineRule="auto" w:before="20" w:after="20"/>
              <w:jc w:val="center"/>
            </w:pPr>
            <w:r>
              <w:rPr>
                <w:rFonts w:ascii="Arial" w:hAnsi="Arial"/>
                <w:sz w:val="19"/>
              </w:rPr>
              <w:t>20</w:t>
            </w:r>
          </w:p>
        </w:tc>
        <w:tc>
          <w:tcPr>
            <w:tcW w:type="dxa" w:w="1152"/>
            <w:vAlign w:val="center"/>
            <w:shd w:fill="F3F5F6"/>
          </w:tcPr>
          <w:p>
            <w:pPr>
              <w:widowControl/>
              <w:spacing w:line="245" w:lineRule="auto" w:before="20" w:after="20"/>
              <w:jc w:val="center"/>
            </w:pPr>
            <w:r>
              <w:rPr>
                <w:rFonts w:ascii="Arial" w:hAnsi="Arial"/>
                <w:sz w:val="19"/>
              </w:rPr>
              <w:t>60</w:t>
            </w:r>
          </w:p>
        </w:tc>
        <w:tc>
          <w:tcPr>
            <w:tcW w:type="dxa" w:w="1224"/>
            <w:vAlign w:val="center"/>
            <w:shd w:fill="F3F5F6"/>
          </w:tcPr>
          <w:p>
            <w:pPr>
              <w:widowControl/>
              <w:spacing w:line="245" w:lineRule="auto" w:before="20" w:after="20"/>
              <w:jc w:val="center"/>
            </w:pPr>
            <w:r>
              <w:rPr>
                <w:rFonts w:ascii="Arial" w:hAnsi="Arial"/>
                <w:sz w:val="19"/>
              </w:rPr>
              <w:t>80</w:t>
            </w:r>
          </w:p>
        </w:tc>
        <w:tc>
          <w:tcPr>
            <w:tcW w:type="dxa" w:w="1152"/>
            <w:vAlign w:val="center"/>
            <w:shd w:fill="F3F5F6"/>
          </w:tcPr>
          <w:p>
            <w:pPr>
              <w:widowControl/>
              <w:spacing w:line="245" w:lineRule="auto" w:before="20" w:after="20"/>
              <w:jc w:val="center"/>
            </w:pPr>
            <w:r>
              <w:rPr>
                <w:rFonts w:ascii="Arial" w:hAnsi="Arial"/>
                <w:sz w:val="19"/>
              </w:rPr>
              <w:t>40</w:t>
            </w:r>
          </w:p>
        </w:tc>
        <w:tc>
          <w:tcPr>
            <w:tcW w:type="dxa" w:w="1152"/>
            <w:vAlign w:val="center"/>
            <w:shd w:fill="F3F5F6"/>
          </w:tcPr>
          <w:p>
            <w:pPr>
              <w:widowControl/>
              <w:spacing w:line="245" w:lineRule="auto" w:before="20" w:after="20"/>
              <w:jc w:val="center"/>
            </w:pPr>
            <w:r>
              <w:rPr>
                <w:rFonts w:ascii="Arial" w:hAnsi="Arial"/>
                <w:sz w:val="19"/>
              </w:rPr>
              <w:t>60</w:t>
            </w:r>
          </w:p>
        </w:tc>
      </w:tr>
    </w:tbl>
    <w:p>
      <w:pPr>
        <w:spacing w:after="40" w:before="0" w:line="96" w:lineRule="auto"/>
      </w:pPr>
      <w:r>
        <w:rPr>
          <w:sz w:val="4"/>
        </w:rPr>
      </w:r>
    </w:p>
    <w:p>
      <w:r>
        <w:rPr>
          <w:b w:val="0"/>
        </w:rPr>
        <w:t>Criar o título apenas muda a cobertura financeira. Pagar reduz Q. Aplicar o adiantamento à medição não gera novo pagamento. Reconhecer execução reduz ETC. A soma cega de contrato integral e título aberto produziria duplicidade.</w:t>
      </w:r>
    </w:p>
    <w:p>
      <w:pPr>
        <w:pStyle w:val="Heading2"/>
      </w:pPr>
      <w:r>
        <w:rPr>
          <w:b w:val="0"/>
        </w:rPr>
        <w:t>12 2 Retenção tributos e adiantamento parcial</w:t>
      </w:r>
    </w:p>
    <w:p>
      <w:pPr>
        <w:keepNext/>
      </w:pPr>
      <w:r>
        <w:rPr>
          <w:b w:val="0"/>
        </w:rPr>
        <w:t>Contrato vigente de R$ 1.200.000 e execução reconhecida de R$ 300.000. O documento econômico se desdobra em R$ 240.000 ao fornecedor, R$ 30.000 de tributo retido e R$ 30.000 de retenção contratual. Foram pagos R$ 120.000 de adiantamento, dos quais R$ 60.000 já aplicados, e outros R$ 100.000 de principal. Há previsão de R$ 200.000 para outro escopo ainda não contratado.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95" w:type="dxa"/>
          <w:bottom w:w="95" w:type="dxa"/>
          <w:right w:w="95" w:type="dxa"/>
        </w:tblCellMar>
      </w:tblPr>
      <w:tblGrid>
        <w:gridCol w:w="6912"/>
        <w:gridCol w:w="3168"/>
      </w:tblGrid>
      <w:tr>
        <w:trPr>
          <w:cantSplit/>
          <w:tblHeader/>
        </w:trPr>
        <w:tc>
          <w:tcPr>
            <w:tcW w:type="dxa" w:w="6912"/>
            <w:vAlign w:val="center"/>
            <w:shd w:fill="203F50"/>
          </w:tcPr>
          <w:p>
            <w:pPr>
              <w:widowControl/>
              <w:spacing w:line="245" w:lineRule="auto" w:before="20" w:after="20"/>
            </w:pPr>
            <w:r>
              <w:rPr>
                <w:rFonts w:ascii="Arial" w:hAnsi="Arial"/>
                <w:b/>
                <w:color w:val="FFFFFF"/>
                <w:sz w:val="19"/>
              </w:rPr>
              <w:t>Componente</w:t>
            </w:r>
          </w:p>
        </w:tc>
        <w:tc>
          <w:tcPr>
            <w:tcW w:type="dxa" w:w="3168"/>
            <w:vAlign w:val="center"/>
            <w:shd w:fill="203F50"/>
          </w:tcPr>
          <w:p>
            <w:pPr>
              <w:widowControl/>
              <w:spacing w:line="245" w:lineRule="auto" w:before="20" w:after="20"/>
            </w:pPr>
            <w:r>
              <w:rPr>
                <w:rFonts w:ascii="Arial" w:hAnsi="Arial"/>
                <w:b/>
                <w:color w:val="FFFFFF"/>
                <w:sz w:val="19"/>
              </w:rPr>
              <w:t>Valor</w:t>
            </w:r>
          </w:p>
        </w:tc>
      </w:tr>
      <w:tr>
        <w:trPr>
          <w:cantSplit/>
        </w:trPr>
        <w:tc>
          <w:tcPr>
            <w:tcW w:type="dxa" w:w="6912"/>
            <w:vAlign w:val="center"/>
          </w:tcPr>
          <w:p>
            <w:pPr>
              <w:widowControl/>
              <w:spacing w:line="245" w:lineRule="auto" w:before="20" w:after="20"/>
            </w:pPr>
            <w:r>
              <w:rPr>
                <w:rFonts w:ascii="Arial" w:hAnsi="Arial"/>
                <w:sz w:val="19"/>
              </w:rPr>
              <w:t>Fornecedor aberto: 240.000 - 60.000 - 100.000</w:t>
            </w:r>
          </w:p>
        </w:tc>
        <w:tc>
          <w:tcPr>
            <w:tcW w:type="dxa" w:w="3168"/>
            <w:vAlign w:val="center"/>
          </w:tcPr>
          <w:p>
            <w:pPr>
              <w:widowControl/>
              <w:spacing w:line="245" w:lineRule="auto" w:before="20" w:after="20"/>
            </w:pPr>
            <w:r>
              <w:rPr>
                <w:rFonts w:ascii="Arial" w:hAnsi="Arial"/>
                <w:sz w:val="19"/>
              </w:rPr>
              <w:t>R$ 80.000</w:t>
            </w:r>
          </w:p>
        </w:tc>
      </w:tr>
      <w:tr>
        <w:trPr>
          <w:cantSplit/>
        </w:trPr>
        <w:tc>
          <w:tcPr>
            <w:tcW w:type="dxa" w:w="6912"/>
            <w:vAlign w:val="center"/>
            <w:shd w:fill="F3F5F6"/>
          </w:tcPr>
          <w:p>
            <w:pPr>
              <w:widowControl/>
              <w:spacing w:line="245" w:lineRule="auto" w:before="20" w:after="20"/>
            </w:pPr>
            <w:r>
              <w:rPr>
                <w:rFonts w:ascii="Arial" w:hAnsi="Arial"/>
                <w:sz w:val="19"/>
              </w:rPr>
              <w:t>Tributo retido em aberto</w:t>
            </w:r>
          </w:p>
        </w:tc>
        <w:tc>
          <w:tcPr>
            <w:tcW w:type="dxa" w:w="3168"/>
            <w:vAlign w:val="center"/>
            <w:shd w:fill="F3F5F6"/>
          </w:tcPr>
          <w:p>
            <w:pPr>
              <w:widowControl/>
              <w:spacing w:line="245" w:lineRule="auto" w:before="20" w:after="20"/>
            </w:pPr>
            <w:r>
              <w:rPr>
                <w:rFonts w:ascii="Arial" w:hAnsi="Arial"/>
                <w:sz w:val="19"/>
              </w:rPr>
              <w:t>R$ 30.000</w:t>
            </w:r>
          </w:p>
        </w:tc>
      </w:tr>
      <w:tr>
        <w:trPr>
          <w:cantSplit/>
        </w:trPr>
        <w:tc>
          <w:tcPr>
            <w:tcW w:type="dxa" w:w="6912"/>
            <w:vAlign w:val="center"/>
          </w:tcPr>
          <w:p>
            <w:pPr>
              <w:widowControl/>
              <w:spacing w:line="245" w:lineRule="auto" w:before="20" w:after="20"/>
            </w:pPr>
            <w:r>
              <w:rPr>
                <w:rFonts w:ascii="Arial" w:hAnsi="Arial"/>
                <w:sz w:val="19"/>
              </w:rPr>
              <w:t>Retenção contratual em aberto</w:t>
            </w:r>
          </w:p>
        </w:tc>
        <w:tc>
          <w:tcPr>
            <w:tcW w:type="dxa" w:w="3168"/>
            <w:vAlign w:val="center"/>
          </w:tcPr>
          <w:p>
            <w:pPr>
              <w:widowControl/>
              <w:spacing w:line="245" w:lineRule="auto" w:before="20" w:after="20"/>
            </w:pPr>
            <w:r>
              <w:rPr>
                <w:rFonts w:ascii="Arial" w:hAnsi="Arial"/>
                <w:sz w:val="19"/>
              </w:rPr>
              <w:t>R$ 30.000</w:t>
            </w:r>
          </w:p>
        </w:tc>
      </w:tr>
      <w:tr>
        <w:trPr>
          <w:cantSplit/>
        </w:trPr>
        <w:tc>
          <w:tcPr>
            <w:tcW w:type="dxa" w:w="6912"/>
            <w:vAlign w:val="center"/>
            <w:shd w:fill="F3F5F6"/>
          </w:tcPr>
          <w:p>
            <w:pPr>
              <w:widowControl/>
              <w:spacing w:line="245" w:lineRule="auto" w:before="20" w:after="20"/>
            </w:pPr>
            <w:r>
              <w:rPr>
                <w:rFonts w:ascii="Arial" w:hAnsi="Arial"/>
                <w:sz w:val="19"/>
              </w:rPr>
              <w:t>R total reconhecido aberto</w:t>
            </w:r>
          </w:p>
        </w:tc>
        <w:tc>
          <w:tcPr>
            <w:tcW w:type="dxa" w:w="3168"/>
            <w:vAlign w:val="center"/>
            <w:shd w:fill="F3F5F6"/>
          </w:tcPr>
          <w:p>
            <w:pPr>
              <w:widowControl/>
              <w:spacing w:line="245" w:lineRule="auto" w:before="20" w:after="20"/>
            </w:pPr>
            <w:r>
              <w:rPr>
                <w:rFonts w:ascii="Arial" w:hAnsi="Arial"/>
                <w:sz w:val="19"/>
              </w:rPr>
              <w:t>R$ 140.000</w:t>
            </w:r>
          </w:p>
        </w:tc>
      </w:tr>
      <w:tr>
        <w:trPr>
          <w:cantSplit/>
        </w:trPr>
        <w:tc>
          <w:tcPr>
            <w:tcW w:type="dxa" w:w="6912"/>
            <w:vAlign w:val="center"/>
          </w:tcPr>
          <w:p>
            <w:pPr>
              <w:widowControl/>
              <w:spacing w:line="245" w:lineRule="auto" w:before="20" w:after="20"/>
            </w:pPr>
            <w:r>
              <w:rPr>
                <w:rFonts w:ascii="Arial" w:hAnsi="Arial"/>
                <w:sz w:val="19"/>
              </w:rPr>
              <w:t>H total pago imputável ao contrato</w:t>
            </w:r>
          </w:p>
        </w:tc>
        <w:tc>
          <w:tcPr>
            <w:tcW w:type="dxa" w:w="3168"/>
            <w:vAlign w:val="center"/>
          </w:tcPr>
          <w:p>
            <w:pPr>
              <w:widowControl/>
              <w:spacing w:line="245" w:lineRule="auto" w:before="20" w:after="20"/>
            </w:pPr>
            <w:r>
              <w:rPr>
                <w:rFonts w:ascii="Arial" w:hAnsi="Arial"/>
                <w:sz w:val="19"/>
              </w:rPr>
              <w:t>R$ 220.000</w:t>
            </w:r>
          </w:p>
        </w:tc>
      </w:tr>
      <w:tr>
        <w:trPr>
          <w:cantSplit/>
        </w:trPr>
        <w:tc>
          <w:tcPr>
            <w:tcW w:type="dxa" w:w="6912"/>
            <w:vAlign w:val="center"/>
            <w:shd w:fill="F3F5F6"/>
          </w:tcPr>
          <w:p>
            <w:pPr>
              <w:widowControl/>
              <w:spacing w:line="245" w:lineRule="auto" w:before="20" w:after="20"/>
            </w:pPr>
            <w:r>
              <w:rPr>
                <w:rFonts w:ascii="Arial" w:hAnsi="Arial"/>
                <w:sz w:val="19"/>
              </w:rPr>
              <w:t>C: 1.200.000 - 220.000 - 140.000</w:t>
            </w:r>
          </w:p>
        </w:tc>
        <w:tc>
          <w:tcPr>
            <w:tcW w:type="dxa" w:w="3168"/>
            <w:vAlign w:val="center"/>
            <w:shd w:fill="F3F5F6"/>
          </w:tcPr>
          <w:p>
            <w:pPr>
              <w:widowControl/>
              <w:spacing w:line="245" w:lineRule="auto" w:before="20" w:after="20"/>
            </w:pPr>
            <w:r>
              <w:rPr>
                <w:rFonts w:ascii="Arial" w:hAnsi="Arial"/>
                <w:sz w:val="19"/>
              </w:rPr>
              <w:t>R$ 840.000</w:t>
            </w:r>
          </w:p>
        </w:tc>
      </w:tr>
      <w:tr>
        <w:trPr>
          <w:cantSplit/>
        </w:trPr>
        <w:tc>
          <w:tcPr>
            <w:tcW w:type="dxa" w:w="6912"/>
            <w:vAlign w:val="center"/>
          </w:tcPr>
          <w:p>
            <w:pPr>
              <w:widowControl/>
              <w:spacing w:line="245" w:lineRule="auto" w:before="20" w:after="20"/>
            </w:pPr>
            <w:r>
              <w:rPr>
                <w:rFonts w:ascii="Arial" w:hAnsi="Arial"/>
                <w:sz w:val="19"/>
              </w:rPr>
              <w:t>P sem cobertura</w:t>
            </w:r>
          </w:p>
        </w:tc>
        <w:tc>
          <w:tcPr>
            <w:tcW w:type="dxa" w:w="3168"/>
            <w:vAlign w:val="center"/>
          </w:tcPr>
          <w:p>
            <w:pPr>
              <w:widowControl/>
              <w:spacing w:line="245" w:lineRule="auto" w:before="20" w:after="20"/>
            </w:pPr>
            <w:r>
              <w:rPr>
                <w:rFonts w:ascii="Arial" w:hAnsi="Arial"/>
                <w:sz w:val="19"/>
              </w:rPr>
              <w:t>R$ 200.000</w:t>
            </w:r>
          </w:p>
        </w:tc>
      </w:tr>
      <w:tr>
        <w:trPr>
          <w:cantSplit/>
        </w:trPr>
        <w:tc>
          <w:tcPr>
            <w:tcW w:type="dxa" w:w="6912"/>
            <w:vAlign w:val="center"/>
            <w:shd w:fill="F3F5F6"/>
          </w:tcPr>
          <w:p>
            <w:pPr>
              <w:widowControl/>
              <w:spacing w:line="245" w:lineRule="auto" w:before="20" w:after="20"/>
            </w:pPr>
            <w:r>
              <w:rPr>
                <w:rFonts w:ascii="Arial" w:hAnsi="Arial"/>
                <w:sz w:val="19"/>
              </w:rPr>
              <w:t>Q: 140.000 + 840.000 + 200.000</w:t>
            </w:r>
          </w:p>
        </w:tc>
        <w:tc>
          <w:tcPr>
            <w:tcW w:type="dxa" w:w="3168"/>
            <w:vAlign w:val="center"/>
            <w:shd w:fill="F3F5F6"/>
          </w:tcPr>
          <w:p>
            <w:pPr>
              <w:widowControl/>
              <w:spacing w:line="245" w:lineRule="auto" w:before="20" w:after="20"/>
            </w:pPr>
            <w:r>
              <w:rPr>
                <w:rFonts w:ascii="Arial" w:hAnsi="Arial"/>
                <w:sz w:val="19"/>
              </w:rPr>
              <w:t>R$ 1.180.000</w:t>
            </w:r>
          </w:p>
        </w:tc>
      </w:tr>
      <w:tr>
        <w:trPr>
          <w:cantSplit/>
        </w:trPr>
        <w:tc>
          <w:tcPr>
            <w:tcW w:type="dxa" w:w="6912"/>
            <w:vAlign w:val="center"/>
          </w:tcPr>
          <w:p>
            <w:pPr>
              <w:widowControl/>
              <w:spacing w:line="245" w:lineRule="auto" w:before="20" w:after="20"/>
            </w:pPr>
            <w:r>
              <w:rPr>
                <w:rFonts w:ascii="Arial" w:hAnsi="Arial"/>
                <w:sz w:val="19"/>
              </w:rPr>
              <w:t>ETC: 900.000 de execução contratada futura + 200.000</w:t>
            </w:r>
          </w:p>
        </w:tc>
        <w:tc>
          <w:tcPr>
            <w:tcW w:type="dxa" w:w="3168"/>
            <w:vAlign w:val="center"/>
          </w:tcPr>
          <w:p>
            <w:pPr>
              <w:widowControl/>
              <w:spacing w:line="245" w:lineRule="auto" w:before="20" w:after="20"/>
            </w:pPr>
            <w:r>
              <w:rPr>
                <w:rFonts w:ascii="Arial" w:hAnsi="Arial"/>
                <w:sz w:val="19"/>
              </w:rPr>
              <w:t>R$ 1.100.000</w:t>
            </w:r>
          </w:p>
        </w:tc>
      </w:tr>
      <w:tr>
        <w:trPr>
          <w:cantSplit/>
        </w:trPr>
        <w:tc>
          <w:tcPr>
            <w:tcW w:type="dxa" w:w="6912"/>
            <w:vAlign w:val="center"/>
            <w:shd w:fill="F3F5F6"/>
          </w:tcPr>
          <w:p>
            <w:pPr>
              <w:widowControl/>
              <w:spacing w:line="245" w:lineRule="auto" w:before="20" w:after="20"/>
            </w:pPr>
            <w:r>
              <w:rPr>
                <w:rFonts w:ascii="Arial" w:hAnsi="Arial"/>
                <w:sz w:val="19"/>
              </w:rPr>
              <w:t>EAC: 300.000 + 1.100.000</w:t>
            </w:r>
          </w:p>
        </w:tc>
        <w:tc>
          <w:tcPr>
            <w:tcW w:type="dxa" w:w="3168"/>
            <w:vAlign w:val="center"/>
            <w:shd w:fill="F3F5F6"/>
          </w:tcPr>
          <w:p>
            <w:pPr>
              <w:widowControl/>
              <w:spacing w:line="245" w:lineRule="auto" w:before="20" w:after="20"/>
            </w:pPr>
            <w:r>
              <w:rPr>
                <w:rFonts w:ascii="Arial" w:hAnsi="Arial"/>
                <w:sz w:val="19"/>
              </w:rPr>
              <w:t>R$ 1.400.000</w:t>
            </w:r>
          </w:p>
        </w:tc>
      </w:tr>
    </w:tbl>
    <w:p>
      <w:pPr>
        <w:spacing w:after="40" w:before="0" w:line="96" w:lineRule="auto"/>
      </w:pPr>
      <w:r>
        <w:rPr>
          <w:sz w:val="4"/>
        </w:rPr>
      </w:r>
    </w:p>
    <w:p>
      <w:r>
        <w:rPr>
          <w:b w:val="0"/>
        </w:rPr>
        <w:t>Conferência simplificada: R$ 220.000 pagos + R$ 1.180.000 futuros = R$ 1.400.000. Os R$ 60.000 de adiantamento ainda não aplicados já reduzem C. Não abater novamente R$ 60.000 nem R$ 120.000 de Q. Retenção e tributo já integram R; não somá-los uma segunda vez.</w:t>
      </w:r>
    </w:p>
    <w:p>
      <w:pPr>
        <w:pStyle w:val="Heading2"/>
      </w:pPr>
      <w:r>
        <w:rPr>
          <w:b w:val="0"/>
        </w:rPr>
        <w:t>12 3 Pagamento parcial juros desconto e devolução</w:t>
      </w:r>
    </w:p>
    <w:p>
      <w:r>
        <w:rPr>
          <w:b w:val="0"/>
        </w:rPr>
        <w:t>Título de R$ 100.000. Primeiro pagamento de R$ 40.000 de principal. Na quitação são reconhecidos R$ 2.000 de juros e R$ 5.000 de desconto. O segundo pagamento é R$ 57.000: R$ 55.000 de principal e R$ 2.000 de juros. Conferência: 100.000 + 2.000 - 5.000 - 40.000 - 57.000 = 0. O caixa pago total é R$ 97.000.</w:t>
      </w:r>
    </w:p>
    <w:p>
      <w:r>
        <w:rPr>
          <w:b w:val="0"/>
        </w:rPr>
        <w:t>Se o banco devolver o segundo pagamento, o saldo reaberto será R$ 57.000 se o desconto continuar válido; será R$ 62.000 se a condição do desconto deixar de ser atendida. A devolução de R$ 57.000 é movimento de caixa separado. A validade do desconto requer documento e D06/D07.</w:t>
      </w:r>
    </w:p>
    <w:p>
      <w:pPr>
        <w:pStyle w:val="Heading2"/>
      </w:pPr>
      <w:r>
        <w:rPr>
          <w:b w:val="0"/>
        </w:rPr>
        <w:t>12 4 Recebimento líquido e permuta</w:t>
      </w:r>
    </w:p>
    <w:p>
      <w:r>
        <w:rPr>
          <w:b w:val="0"/>
        </w:rPr>
        <w:t>Cliente liquida R$ 10.000 e a instituição retém tarifa de R$ 200, depositando R$ 9.800. Com evidência dessa composição, o recebível baixa R$ 10.000, a entrada bancária é R$ 9.800 e a tarifa é identificada separadamente. Não sobra inadimplência artificial de R$ 200. Pode-se apresentar cobrança bruta e tarifa em relatório auxiliar, reconciliadas ao valor líquido do banco.</w:t>
      </w:r>
    </w:p>
    <w:p>
      <w:r>
        <w:rPr>
          <w:b w:val="0"/>
        </w:rPr>
        <w:t>Em outro exemplo, uma parcela de R$ 100.000 é liquidada com R$ 30.000 em dinheiro e R$ 70.000 em bem recebido em permuta, documentalmente aceito. A baixa financeira é R$ 100.000, mas o caixa recebido é R$ 30.000. Avaliação do bem e reconhecimento contábil dependem da política validada.</w:t>
      </w:r>
    </w:p>
    <w:p>
      <w:pPr>
        <w:pStyle w:val="Heading2"/>
      </w:pPr>
      <w:r>
        <w:rPr>
          <w:b w:val="0"/>
        </w:rPr>
        <w:t>12 5 Rateio e pagamento parcial</w:t>
      </w:r>
    </w:p>
    <w:p>
      <w:r>
        <w:rPr>
          <w:b w:val="0"/>
        </w:rPr>
        <w:t>Documento apropriável de R$ 10.000: obra A recebe R$ 6.000 e obra B R$ 4.000. Primeiro pagamento de R$ 3.000. Se D05 aprovar distribuição proporcional, a apropriação de caixa será R$ 1.800 e R$ 1.200. A apropriação econômica continua R$ 6.000 e R$ 4.000; o pagamento não cria R$ 3.000 adicionais de custo.</w:t>
      </w:r>
    </w:p>
    <w:p>
      <w:pPr>
        <w:pStyle w:val="Heading2"/>
      </w:pPr>
      <w:r>
        <w:rPr>
          <w:b w:val="0"/>
        </w:rPr>
        <w:t>12 6 Aditivo e estouro do orçamento</w:t>
      </w:r>
    </w:p>
    <w:p>
      <w:r>
        <w:rPr>
          <w:b w:val="0"/>
        </w:rPr>
        <w:t>Orçamento original de R$ 1.000.000. Fundação contratada por R$ 550.000 após aditivo aprovado, dos quais R$ 300.000 incorridos. Acabamentos contratados por R$ 300.000, dos quais R$ 100.000 incorridos. Outros custos incorridos de R$ 50.000. Escopo futuro ainda não contratado reestimado em R$ 350.000.</w:t>
      </w:r>
    </w:p>
    <w:p>
      <w:r>
        <w:rPr>
          <w:b w:val="0"/>
        </w:rPr>
        <w:t>Incorrido = R$ 450.000. ETC = 250.000 + 200.000 + 350.000 = R$ 800.000. EAC = R$ 1.250.000, com excedente de R$ 250.000 frente ao original. Usar “orçamento menos incorrido menos contrato futuro” produziria previsão não contratada de R$ 100.000 e esconderia R$ 250.000 necessários.</w:t>
      </w:r>
    </w:p>
    <w:p>
      <w:pPr>
        <w:pStyle w:val="Heading2"/>
      </w:pPr>
      <w:r>
        <w:rPr>
          <w:b w:val="0"/>
        </w:rPr>
        <w:t>12 7 Transferência e necessidade de recursos</w:t>
      </w:r>
    </w:p>
    <w:p>
      <w:r>
        <w:rPr>
          <w:b w:val="0"/>
        </w:rPr>
        <w:t>Transferir R$ 20.000 entre duas contas do mesmo titular não aumenta receitas nem despesas externas. Se houver tarifa de R$ 15, a redução líquida do caixa consolidado é R$ 15. Em datas diferentes, a ponta pendente fica em trânsito, sem crédito fictício na conta de destino.</w:t>
      </w:r>
    </w:p>
    <w:p>
      <w:r>
        <w:rPr>
          <w:b w:val="0"/>
        </w:rPr>
        <w:t>Para uma projeção, disponibilidade inicial de R$ 100.000; mês 1 com entradas de R$ 60.000 e saídas de R$ 120.000; mês 2 com entradas de R$ 80.000 e saídas de R$ 150.000. Saldos: R$ 40.000 e menos R$ 30.000. Com caixa mínimo de R$ 20.000, a necessidade máxima adicional é R$ 50.000. O limite bancário não utilizado não integra o caixa inicial.</w:t>
      </w:r>
    </w:p>
    <w:p>
      <w:pPr>
        <w:pStyle w:val="Heading1"/>
      </w:pPr>
      <w:r>
        <w:rPr>
          <w:b w:val="0"/>
        </w:rPr>
        <w:t>13 Decisões para validação</w:t>
      </w:r>
    </w:p>
    <w:p>
      <w:pPr>
        <w:keepNext/>
      </w:pPr>
      <w:r>
        <w:rPr>
          <w:b w:val="0"/>
        </w:rPr>
        <w:t>Todas as decisões permanecem pendentes de aprovação nominal. A validação deve registrar escolha, responsável, data, vigência, motivo e alcance no legado. Aprovar este documento não confirma automaticamente a execução de ajustes nem a correção dos dados atuais.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95" w:type="dxa"/>
          <w:bottom w:w="95" w:type="dxa"/>
          <w:right w:w="95" w:type="dxa"/>
        </w:tblCellMar>
      </w:tblPr>
      <w:tblGrid>
        <w:gridCol w:w="720"/>
        <w:gridCol w:w="3816"/>
        <w:gridCol w:w="3960"/>
        <w:gridCol w:w="1584"/>
      </w:tblGrid>
      <w:tr>
        <w:trPr>
          <w:cantSplit/>
          <w:tblHeader/>
        </w:trPr>
        <w:tc>
          <w:tcPr>
            <w:tcW w:type="dxa" w:w="720"/>
            <w:vAlign w:val="center"/>
            <w:shd w:fill="203F50"/>
          </w:tcPr>
          <w:p>
            <w:pPr>
              <w:widowControl/>
              <w:spacing w:line="245" w:lineRule="auto" w:before="20" w:after="20"/>
              <w:jc w:val="center"/>
            </w:pPr>
            <w:r>
              <w:rPr>
                <w:rFonts w:ascii="Arial" w:hAnsi="Arial"/>
                <w:b/>
                <w:color w:val="FFFFFF"/>
                <w:sz w:val="19"/>
              </w:rPr>
              <w:t>ID</w:t>
            </w:r>
          </w:p>
        </w:tc>
        <w:tc>
          <w:tcPr>
            <w:tcW w:type="dxa" w:w="3816"/>
            <w:vAlign w:val="center"/>
            <w:shd w:fill="203F50"/>
          </w:tcPr>
          <w:p>
            <w:pPr>
              <w:widowControl/>
              <w:spacing w:line="245" w:lineRule="auto" w:before="20" w:after="20"/>
            </w:pPr>
            <w:r>
              <w:rPr>
                <w:rFonts w:ascii="Arial" w:hAnsi="Arial"/>
                <w:b/>
                <w:color w:val="FFFFFF"/>
                <w:sz w:val="19"/>
              </w:rPr>
              <w:t>Decisão e proposta</w:t>
            </w:r>
          </w:p>
        </w:tc>
        <w:tc>
          <w:tcPr>
            <w:tcW w:type="dxa" w:w="3960"/>
            <w:vAlign w:val="center"/>
            <w:shd w:fill="203F50"/>
          </w:tcPr>
          <w:p>
            <w:pPr>
              <w:widowControl/>
              <w:spacing w:line="245" w:lineRule="auto" w:before="20" w:after="20"/>
            </w:pPr>
            <w:r>
              <w:rPr>
                <w:rFonts w:ascii="Arial" w:hAnsi="Arial"/>
                <w:b/>
                <w:color w:val="FFFFFF"/>
                <w:sz w:val="19"/>
              </w:rPr>
              <w:t>O que precisa ser fixado</w:t>
            </w:r>
          </w:p>
        </w:tc>
        <w:tc>
          <w:tcPr>
            <w:tcW w:type="dxa" w:w="1584"/>
            <w:vAlign w:val="center"/>
            <w:shd w:fill="203F50"/>
          </w:tcPr>
          <w:p>
            <w:pPr>
              <w:widowControl/>
              <w:spacing w:line="245" w:lineRule="auto" w:before="20" w:after="20"/>
              <w:jc w:val="center"/>
            </w:pPr>
            <w:r>
              <w:rPr>
                <w:rFonts w:ascii="Arial" w:hAnsi="Arial"/>
                <w:b/>
                <w:color w:val="FFFFFF"/>
                <w:sz w:val="19"/>
              </w:rPr>
              <w:t>Validação</w:t>
            </w:r>
          </w:p>
        </w:tc>
      </w:tr>
      <w:tr>
        <w:trPr>
          <w:cantSplit/>
        </w:trPr>
        <w:tc>
          <w:tcPr>
            <w:tcW w:type="dxa" w:w="720"/>
            <w:vAlign w:val="center"/>
          </w:tcPr>
          <w:p>
            <w:pPr>
              <w:widowControl/>
              <w:spacing w:line="245" w:lineRule="auto" w:before="20" w:after="20"/>
              <w:jc w:val="center"/>
            </w:pPr>
            <w:r>
              <w:rPr>
                <w:rFonts w:ascii="Arial" w:hAnsi="Arial"/>
                <w:sz w:val="19"/>
              </w:rPr>
              <w:t>D01</w:t>
            </w:r>
          </w:p>
        </w:tc>
        <w:tc>
          <w:tcPr>
            <w:tcW w:type="dxa" w:w="3816"/>
            <w:vAlign w:val="center"/>
          </w:tcPr>
          <w:p>
            <w:pPr>
              <w:widowControl/>
              <w:spacing w:line="245" w:lineRule="auto" w:before="20" w:after="20"/>
            </w:pPr>
            <w:r>
              <w:rPr>
                <w:rFonts w:ascii="Arial" w:hAnsi="Arial"/>
                <w:sz w:val="19"/>
              </w:rPr>
              <w:t>Substituir atribuição padrão ao Flow por pendência quando não houver evidência.</w:t>
            </w:r>
          </w:p>
        </w:tc>
        <w:tc>
          <w:tcPr>
            <w:tcW w:type="dxa" w:w="3960"/>
            <w:vAlign w:val="center"/>
          </w:tcPr>
          <w:p>
            <w:pPr>
              <w:widowControl/>
              <w:spacing w:line="245" w:lineRule="auto" w:before="20" w:after="20"/>
            </w:pPr>
            <w:r>
              <w:rPr>
                <w:rFonts w:ascii="Arial" w:hAnsi="Arial"/>
                <w:sz w:val="19"/>
              </w:rPr>
              <w:t>Tratamento das atribuições legadas e critérios para identificar Flow, Alma, matriz e centros comuns.</w:t>
            </w:r>
          </w:p>
        </w:tc>
        <w:tc>
          <w:tcPr>
            <w:tcW w:type="dxa" w:w="1584"/>
            <w:vAlign w:val="center"/>
          </w:tcPr>
          <w:p>
            <w:pPr>
              <w:widowControl/>
              <w:spacing w:line="245" w:lineRule="auto" w:before="20" w:after="20"/>
              <w:jc w:val="center"/>
            </w:pPr>
            <w:r>
              <w:rPr>
                <w:rFonts w:ascii="Arial" w:hAnsi="Arial"/>
                <w:sz w:val="19"/>
              </w:rPr>
              <w:t>Financeiro e engenharia</w:t>
            </w:r>
          </w:p>
        </w:tc>
      </w:tr>
      <w:tr>
        <w:trPr>
          <w:cantSplit/>
        </w:trPr>
        <w:tc>
          <w:tcPr>
            <w:tcW w:type="dxa" w:w="720"/>
            <w:vAlign w:val="center"/>
            <w:shd w:fill="F3F5F6"/>
          </w:tcPr>
          <w:p>
            <w:pPr>
              <w:widowControl/>
              <w:spacing w:line="245" w:lineRule="auto" w:before="20" w:after="20"/>
              <w:jc w:val="center"/>
            </w:pPr>
            <w:r>
              <w:rPr>
                <w:rFonts w:ascii="Arial" w:hAnsi="Arial"/>
                <w:sz w:val="19"/>
              </w:rPr>
              <w:t>D02</w:t>
            </w:r>
          </w:p>
        </w:tc>
        <w:tc>
          <w:tcPr>
            <w:tcW w:type="dxa" w:w="3816"/>
            <w:vAlign w:val="center"/>
            <w:shd w:fill="F3F5F6"/>
          </w:tcPr>
          <w:p>
            <w:pPr>
              <w:widowControl/>
              <w:spacing w:line="245" w:lineRule="auto" w:before="20" w:after="20"/>
            </w:pPr>
            <w:r>
              <w:rPr>
                <w:rFonts w:ascii="Arial" w:hAnsi="Arial"/>
                <w:sz w:val="19"/>
              </w:rPr>
              <w:t>Corte comum e histórico reproduzível.</w:t>
            </w:r>
          </w:p>
        </w:tc>
        <w:tc>
          <w:tcPr>
            <w:tcW w:type="dxa" w:w="3960"/>
            <w:vAlign w:val="center"/>
            <w:shd w:fill="F3F5F6"/>
          </w:tcPr>
          <w:p>
            <w:pPr>
              <w:widowControl/>
              <w:spacing w:line="245" w:lineRule="auto" w:before="20" w:after="20"/>
            </w:pPr>
            <w:r>
              <w:rPr>
                <w:rFonts w:ascii="Arial" w:hAnsi="Arial"/>
                <w:sz w:val="19"/>
              </w:rPr>
              <w:t>Entidades, contas, obras, fuso, calendário, data de corte e periodicidade.</w:t>
            </w:r>
          </w:p>
        </w:tc>
        <w:tc>
          <w:tcPr>
            <w:tcW w:type="dxa" w:w="1584"/>
            <w:vAlign w:val="center"/>
            <w:shd w:fill="F3F5F6"/>
          </w:tcPr>
          <w:p>
            <w:pPr>
              <w:widowControl/>
              <w:spacing w:line="245" w:lineRule="auto" w:before="20" w:after="20"/>
              <w:jc w:val="center"/>
            </w:pPr>
            <w:r>
              <w:rPr>
                <w:rFonts w:ascii="Arial" w:hAnsi="Arial"/>
                <w:sz w:val="19"/>
              </w:rPr>
              <w:t>Financeiro</w:t>
            </w:r>
          </w:p>
        </w:tc>
      </w:tr>
      <w:tr>
        <w:trPr>
          <w:cantSplit/>
        </w:trPr>
        <w:tc>
          <w:tcPr>
            <w:tcW w:type="dxa" w:w="720"/>
            <w:vAlign w:val="center"/>
          </w:tcPr>
          <w:p>
            <w:pPr>
              <w:widowControl/>
              <w:spacing w:line="245" w:lineRule="auto" w:before="20" w:after="20"/>
              <w:jc w:val="center"/>
            </w:pPr>
            <w:r>
              <w:rPr>
                <w:rFonts w:ascii="Arial" w:hAnsi="Arial"/>
                <w:sz w:val="19"/>
              </w:rPr>
              <w:t>D03</w:t>
            </w:r>
          </w:p>
        </w:tc>
        <w:tc>
          <w:tcPr>
            <w:tcW w:type="dxa" w:w="3816"/>
            <w:vAlign w:val="center"/>
          </w:tcPr>
          <w:p>
            <w:pPr>
              <w:widowControl/>
              <w:spacing w:line="245" w:lineRule="auto" w:before="20" w:after="20"/>
            </w:pPr>
            <w:r>
              <w:rPr>
                <w:rFonts w:ascii="Arial" w:hAnsi="Arial"/>
                <w:sz w:val="19"/>
              </w:rPr>
              <w:t>Reconhecimento econômico independente de pagamento.</w:t>
            </w:r>
          </w:p>
        </w:tc>
        <w:tc>
          <w:tcPr>
            <w:tcW w:type="dxa" w:w="3960"/>
            <w:vAlign w:val="center"/>
          </w:tcPr>
          <w:p>
            <w:pPr>
              <w:widowControl/>
              <w:spacing w:line="245" w:lineRule="auto" w:before="20" w:after="20"/>
            </w:pPr>
            <w:r>
              <w:rPr>
                <w:rFonts w:ascii="Arial" w:hAnsi="Arial"/>
                <w:sz w:val="19"/>
              </w:rPr>
              <w:t>Critério por natureza: serviço, material, estoque, folha, equipamento e obrigação sem NF.</w:t>
            </w:r>
          </w:p>
        </w:tc>
        <w:tc>
          <w:tcPr>
            <w:tcW w:type="dxa" w:w="1584"/>
            <w:vAlign w:val="center"/>
          </w:tcPr>
          <w:p>
            <w:pPr>
              <w:widowControl/>
              <w:spacing w:line="245" w:lineRule="auto" w:before="20" w:after="20"/>
              <w:jc w:val="center"/>
            </w:pPr>
            <w:r>
              <w:rPr>
                <w:rFonts w:ascii="Arial" w:hAnsi="Arial"/>
                <w:sz w:val="19"/>
              </w:rPr>
              <w:t>Financeiro, engenharia e contador</w:t>
            </w:r>
          </w:p>
        </w:tc>
      </w:tr>
      <w:tr>
        <w:trPr>
          <w:cantSplit/>
        </w:trPr>
        <w:tc>
          <w:tcPr>
            <w:tcW w:type="dxa" w:w="720"/>
            <w:vAlign w:val="center"/>
            <w:shd w:fill="F3F5F6"/>
          </w:tcPr>
          <w:p>
            <w:pPr>
              <w:widowControl/>
              <w:spacing w:line="245" w:lineRule="auto" w:before="20" w:after="20"/>
              <w:jc w:val="center"/>
            </w:pPr>
            <w:r>
              <w:rPr>
                <w:rFonts w:ascii="Arial" w:hAnsi="Arial"/>
                <w:sz w:val="19"/>
              </w:rPr>
              <w:t>D04</w:t>
            </w:r>
          </w:p>
        </w:tc>
        <w:tc>
          <w:tcPr>
            <w:tcW w:type="dxa" w:w="3816"/>
            <w:vAlign w:val="center"/>
            <w:shd w:fill="F3F5F6"/>
          </w:tcPr>
          <w:p>
            <w:pPr>
              <w:widowControl/>
              <w:spacing w:line="245" w:lineRule="auto" w:before="20" w:after="20"/>
            </w:pPr>
            <w:r>
              <w:rPr>
                <w:rFonts w:ascii="Arial" w:hAnsi="Arial"/>
                <w:sz w:val="19"/>
              </w:rPr>
              <w:t>Escopo de “quanto falta pagar” e bases monetárias.</w:t>
            </w:r>
          </w:p>
        </w:tc>
        <w:tc>
          <w:tcPr>
            <w:tcW w:type="dxa" w:w="3960"/>
            <w:vAlign w:val="center"/>
            <w:shd w:fill="F3F5F6"/>
          </w:tcPr>
          <w:p>
            <w:pPr>
              <w:widowControl/>
              <w:spacing w:line="245" w:lineRule="auto" w:before="20" w:after="20"/>
            </w:pPr>
            <w:r>
              <w:rPr>
                <w:rFonts w:ascii="Arial" w:hAnsi="Arial"/>
                <w:sz w:val="19"/>
              </w:rPr>
              <w:t>Custos da obra, administração, tributos, financiamento, restituições, retenções e horizonte após entrega.</w:t>
            </w:r>
          </w:p>
        </w:tc>
        <w:tc>
          <w:tcPr>
            <w:tcW w:type="dxa" w:w="1584"/>
            <w:vAlign w:val="center"/>
            <w:shd w:fill="F3F5F6"/>
          </w:tcPr>
          <w:p>
            <w:pPr>
              <w:widowControl/>
              <w:spacing w:line="245" w:lineRule="auto" w:before="20" w:after="20"/>
              <w:jc w:val="center"/>
            </w:pPr>
            <w:r>
              <w:rPr>
                <w:rFonts w:ascii="Arial" w:hAnsi="Arial"/>
                <w:sz w:val="19"/>
              </w:rPr>
              <w:t>Diretoria e financeiro</w:t>
            </w:r>
          </w:p>
        </w:tc>
      </w:tr>
      <w:tr>
        <w:trPr>
          <w:cantSplit/>
        </w:trPr>
        <w:tc>
          <w:tcPr>
            <w:tcW w:type="dxa" w:w="720"/>
            <w:vAlign w:val="center"/>
          </w:tcPr>
          <w:p>
            <w:pPr>
              <w:widowControl/>
              <w:spacing w:line="245" w:lineRule="auto" w:before="20" w:after="20"/>
              <w:jc w:val="center"/>
            </w:pPr>
            <w:r>
              <w:rPr>
                <w:rFonts w:ascii="Arial" w:hAnsi="Arial"/>
                <w:sz w:val="19"/>
              </w:rPr>
              <w:t>D05</w:t>
            </w:r>
          </w:p>
        </w:tc>
        <w:tc>
          <w:tcPr>
            <w:tcW w:type="dxa" w:w="3816"/>
            <w:vAlign w:val="center"/>
          </w:tcPr>
          <w:p>
            <w:pPr>
              <w:widowControl/>
              <w:spacing w:line="245" w:lineRule="auto" w:before="20" w:after="20"/>
            </w:pPr>
            <w:r>
              <w:rPr>
                <w:rFonts w:ascii="Arial" w:hAnsi="Arial"/>
                <w:sz w:val="19"/>
              </w:rPr>
              <w:t>Rateios e resíduos determinísticos.</w:t>
            </w:r>
          </w:p>
        </w:tc>
        <w:tc>
          <w:tcPr>
            <w:tcW w:type="dxa" w:w="3960"/>
            <w:vAlign w:val="center"/>
          </w:tcPr>
          <w:p>
            <w:pPr>
              <w:widowControl/>
              <w:spacing w:line="245" w:lineRule="auto" w:before="20" w:after="20"/>
            </w:pPr>
            <w:r>
              <w:rPr>
                <w:rFonts w:ascii="Arial" w:hAnsi="Arial"/>
                <w:sz w:val="19"/>
              </w:rPr>
              <w:t>Direcionadores, custos comuns, regra de pagamento parcial e revisão de percentuais.</w:t>
            </w:r>
          </w:p>
        </w:tc>
        <w:tc>
          <w:tcPr>
            <w:tcW w:type="dxa" w:w="1584"/>
            <w:vAlign w:val="center"/>
          </w:tcPr>
          <w:p>
            <w:pPr>
              <w:widowControl/>
              <w:spacing w:line="245" w:lineRule="auto" w:before="20" w:after="20"/>
              <w:jc w:val="center"/>
            </w:pPr>
            <w:r>
              <w:rPr>
                <w:rFonts w:ascii="Arial" w:hAnsi="Arial"/>
                <w:sz w:val="19"/>
              </w:rPr>
              <w:t>Financeiro e engenharia</w:t>
            </w:r>
          </w:p>
        </w:tc>
      </w:tr>
      <w:tr>
        <w:trPr>
          <w:cantSplit/>
        </w:trPr>
        <w:tc>
          <w:tcPr>
            <w:tcW w:type="dxa" w:w="720"/>
            <w:vAlign w:val="center"/>
            <w:shd w:fill="F3F5F6"/>
          </w:tcPr>
          <w:p>
            <w:pPr>
              <w:widowControl/>
              <w:spacing w:line="245" w:lineRule="auto" w:before="20" w:after="20"/>
              <w:jc w:val="center"/>
            </w:pPr>
            <w:r>
              <w:rPr>
                <w:rFonts w:ascii="Arial" w:hAnsi="Arial"/>
                <w:sz w:val="19"/>
              </w:rPr>
              <w:t>D06</w:t>
            </w:r>
          </w:p>
        </w:tc>
        <w:tc>
          <w:tcPr>
            <w:tcW w:type="dxa" w:w="3816"/>
            <w:vAlign w:val="center"/>
            <w:shd w:fill="F3F5F6"/>
          </w:tcPr>
          <w:p>
            <w:pPr>
              <w:widowControl/>
              <w:spacing w:line="245" w:lineRule="auto" w:before="20" w:after="20"/>
            </w:pPr>
            <w:r>
              <w:rPr>
                <w:rFonts w:ascii="Arial" w:hAnsi="Arial"/>
                <w:sz w:val="19"/>
              </w:rPr>
              <w:t>Baixas e parciais por componente.</w:t>
            </w:r>
          </w:p>
        </w:tc>
        <w:tc>
          <w:tcPr>
            <w:tcW w:type="dxa" w:w="3960"/>
            <w:vAlign w:val="center"/>
            <w:shd w:fill="F3F5F6"/>
          </w:tcPr>
          <w:p>
            <w:pPr>
              <w:widowControl/>
              <w:spacing w:line="245" w:lineRule="auto" w:before="20" w:after="20"/>
            </w:pPr>
            <w:r>
              <w:rPr>
                <w:rFonts w:ascii="Arial" w:hAnsi="Arial"/>
                <w:sz w:val="19"/>
              </w:rPr>
              <w:t>Imputação principal/encargos, pagamentos em trânsito, evidência mínima e estornos.</w:t>
            </w:r>
          </w:p>
        </w:tc>
        <w:tc>
          <w:tcPr>
            <w:tcW w:type="dxa" w:w="1584"/>
            <w:vAlign w:val="center"/>
            <w:shd w:fill="F3F5F6"/>
          </w:tcPr>
          <w:p>
            <w:pPr>
              <w:widowControl/>
              <w:spacing w:line="245" w:lineRule="auto" w:before="20" w:after="20"/>
              <w:jc w:val="center"/>
            </w:pPr>
            <w:r>
              <w:rPr>
                <w:rFonts w:ascii="Arial" w:hAnsi="Arial"/>
                <w:sz w:val="19"/>
              </w:rPr>
              <w:t>Financeiro</w:t>
            </w:r>
          </w:p>
        </w:tc>
      </w:tr>
      <w:tr>
        <w:trPr>
          <w:cantSplit/>
        </w:trPr>
        <w:tc>
          <w:tcPr>
            <w:tcW w:type="dxa" w:w="720"/>
            <w:vAlign w:val="center"/>
          </w:tcPr>
          <w:p>
            <w:pPr>
              <w:widowControl/>
              <w:spacing w:line="245" w:lineRule="auto" w:before="20" w:after="20"/>
              <w:jc w:val="center"/>
            </w:pPr>
            <w:r>
              <w:rPr>
                <w:rFonts w:ascii="Arial" w:hAnsi="Arial"/>
                <w:sz w:val="19"/>
              </w:rPr>
              <w:t>D07</w:t>
            </w:r>
          </w:p>
        </w:tc>
        <w:tc>
          <w:tcPr>
            <w:tcW w:type="dxa" w:w="3816"/>
            <w:vAlign w:val="center"/>
          </w:tcPr>
          <w:p>
            <w:pPr>
              <w:widowControl/>
              <w:spacing w:line="245" w:lineRule="auto" w:before="20" w:after="20"/>
            </w:pPr>
            <w:r>
              <w:rPr>
                <w:rFonts w:ascii="Arial" w:hAnsi="Arial"/>
                <w:sz w:val="19"/>
              </w:rPr>
              <w:t>Encargos e descontos por contrato.</w:t>
            </w:r>
          </w:p>
        </w:tc>
        <w:tc>
          <w:tcPr>
            <w:tcW w:type="dxa" w:w="3960"/>
            <w:vAlign w:val="center"/>
          </w:tcPr>
          <w:p>
            <w:pPr>
              <w:widowControl/>
              <w:spacing w:line="245" w:lineRule="auto" w:before="20" w:after="20"/>
            </w:pPr>
            <w:r>
              <w:rPr>
                <w:rFonts w:ascii="Arial" w:hAnsi="Arial"/>
                <w:sz w:val="19"/>
              </w:rPr>
              <w:t>Índices, juros, multas, carência, calendário e validade após devolução.</w:t>
            </w:r>
          </w:p>
        </w:tc>
        <w:tc>
          <w:tcPr>
            <w:tcW w:type="dxa" w:w="1584"/>
            <w:vAlign w:val="center"/>
          </w:tcPr>
          <w:p>
            <w:pPr>
              <w:widowControl/>
              <w:spacing w:line="245" w:lineRule="auto" w:before="20" w:after="20"/>
              <w:jc w:val="center"/>
            </w:pPr>
            <w:r>
              <w:rPr>
                <w:rFonts w:ascii="Arial" w:hAnsi="Arial"/>
                <w:sz w:val="19"/>
              </w:rPr>
              <w:t>Financeiro e contador</w:t>
            </w:r>
          </w:p>
        </w:tc>
      </w:tr>
      <w:tr>
        <w:trPr>
          <w:cantSplit/>
        </w:trPr>
        <w:tc>
          <w:tcPr>
            <w:tcW w:type="dxa" w:w="720"/>
            <w:vAlign w:val="center"/>
            <w:shd w:fill="F3F5F6"/>
          </w:tcPr>
          <w:p>
            <w:pPr>
              <w:widowControl/>
              <w:spacing w:line="245" w:lineRule="auto" w:before="20" w:after="20"/>
              <w:jc w:val="center"/>
            </w:pPr>
            <w:r>
              <w:rPr>
                <w:rFonts w:ascii="Arial" w:hAnsi="Arial"/>
                <w:sz w:val="19"/>
              </w:rPr>
              <w:t>D08</w:t>
            </w:r>
          </w:p>
        </w:tc>
        <w:tc>
          <w:tcPr>
            <w:tcW w:type="dxa" w:w="3816"/>
            <w:vAlign w:val="center"/>
            <w:shd w:fill="F3F5F6"/>
          </w:tcPr>
          <w:p>
            <w:pPr>
              <w:widowControl/>
              <w:spacing w:line="245" w:lineRule="auto" w:before="20" w:after="20"/>
            </w:pPr>
            <w:r>
              <w:rPr>
                <w:rFonts w:ascii="Arial" w:hAnsi="Arial"/>
                <w:sz w:val="19"/>
              </w:rPr>
              <w:t>Retenções e tributos separados.</w:t>
            </w:r>
          </w:p>
        </w:tc>
        <w:tc>
          <w:tcPr>
            <w:tcW w:type="dxa" w:w="3960"/>
            <w:vAlign w:val="center"/>
            <w:shd w:fill="F3F5F6"/>
          </w:tcPr>
          <w:p>
            <w:pPr>
              <w:widowControl/>
              <w:spacing w:line="245" w:lineRule="auto" w:before="20" w:after="20"/>
            </w:pPr>
            <w:r>
              <w:rPr>
                <w:rFonts w:ascii="Arial" w:hAnsi="Arial"/>
                <w:sz w:val="19"/>
              </w:rPr>
              <w:t>Fatos geradores, credores, liberação, recuperabilidade e reflexo no custo.</w:t>
            </w:r>
          </w:p>
        </w:tc>
        <w:tc>
          <w:tcPr>
            <w:tcW w:type="dxa" w:w="1584"/>
            <w:vAlign w:val="center"/>
            <w:shd w:fill="F3F5F6"/>
          </w:tcPr>
          <w:p>
            <w:pPr>
              <w:widowControl/>
              <w:spacing w:line="245" w:lineRule="auto" w:before="20" w:after="20"/>
              <w:jc w:val="center"/>
            </w:pPr>
            <w:r>
              <w:rPr>
                <w:rFonts w:ascii="Arial" w:hAnsi="Arial"/>
                <w:sz w:val="19"/>
              </w:rPr>
              <w:t>Contador e financeiro</w:t>
            </w:r>
          </w:p>
        </w:tc>
      </w:tr>
      <w:tr>
        <w:trPr>
          <w:cantSplit/>
        </w:trPr>
        <w:tc>
          <w:tcPr>
            <w:tcW w:type="dxa" w:w="720"/>
            <w:vAlign w:val="center"/>
          </w:tcPr>
          <w:p>
            <w:pPr>
              <w:widowControl/>
              <w:spacing w:line="245" w:lineRule="auto" w:before="20" w:after="20"/>
              <w:jc w:val="center"/>
            </w:pPr>
            <w:r>
              <w:rPr>
                <w:rFonts w:ascii="Arial" w:hAnsi="Arial"/>
                <w:sz w:val="19"/>
              </w:rPr>
              <w:t>D09</w:t>
            </w:r>
          </w:p>
        </w:tc>
        <w:tc>
          <w:tcPr>
            <w:tcW w:type="dxa" w:w="3816"/>
            <w:vAlign w:val="center"/>
          </w:tcPr>
          <w:p>
            <w:pPr>
              <w:widowControl/>
              <w:spacing w:line="245" w:lineRule="auto" w:before="20" w:after="20"/>
            </w:pPr>
            <w:r>
              <w:rPr>
                <w:rFonts w:ascii="Arial" w:hAnsi="Arial"/>
                <w:sz w:val="19"/>
              </w:rPr>
              <w:t>Recebíveis e inadimplência.</w:t>
            </w:r>
          </w:p>
        </w:tc>
        <w:tc>
          <w:tcPr>
            <w:tcW w:type="dxa" w:w="3960"/>
            <w:vAlign w:val="center"/>
          </w:tcPr>
          <w:p>
            <w:pPr>
              <w:widowControl/>
              <w:spacing w:line="245" w:lineRule="auto" w:before="20" w:after="20"/>
            </w:pPr>
            <w:r>
              <w:rPr>
                <w:rFonts w:ascii="Arial" w:hAnsi="Arial"/>
                <w:sz w:val="19"/>
              </w:rPr>
              <w:t>Coorte, carência, perdas, permutas, cessões, antecipações, receita e distratos.</w:t>
            </w:r>
          </w:p>
        </w:tc>
        <w:tc>
          <w:tcPr>
            <w:tcW w:type="dxa" w:w="1584"/>
            <w:vAlign w:val="center"/>
          </w:tcPr>
          <w:p>
            <w:pPr>
              <w:widowControl/>
              <w:spacing w:line="245" w:lineRule="auto" w:before="20" w:after="20"/>
              <w:jc w:val="center"/>
            </w:pPr>
            <w:r>
              <w:rPr>
                <w:rFonts w:ascii="Arial" w:hAnsi="Arial"/>
                <w:sz w:val="19"/>
              </w:rPr>
              <w:t>Financeiro e contador</w:t>
            </w:r>
          </w:p>
        </w:tc>
      </w:tr>
      <w:tr>
        <w:trPr>
          <w:cantSplit/>
        </w:trPr>
        <w:tc>
          <w:tcPr>
            <w:tcW w:type="dxa" w:w="720"/>
            <w:vAlign w:val="center"/>
            <w:shd w:fill="F3F5F6"/>
          </w:tcPr>
          <w:p>
            <w:pPr>
              <w:widowControl/>
              <w:spacing w:line="245" w:lineRule="auto" w:before="20" w:after="20"/>
              <w:jc w:val="center"/>
            </w:pPr>
            <w:r>
              <w:rPr>
                <w:rFonts w:ascii="Arial" w:hAnsi="Arial"/>
                <w:sz w:val="19"/>
              </w:rPr>
              <w:t>D10</w:t>
            </w:r>
          </w:p>
        </w:tc>
        <w:tc>
          <w:tcPr>
            <w:tcW w:type="dxa" w:w="3816"/>
            <w:vAlign w:val="center"/>
            <w:shd w:fill="F3F5F6"/>
          </w:tcPr>
          <w:p>
            <w:pPr>
              <w:widowControl/>
              <w:spacing w:line="245" w:lineRule="auto" w:before="20" w:after="20"/>
            </w:pPr>
            <w:r>
              <w:rPr>
                <w:rFonts w:ascii="Arial" w:hAnsi="Arial"/>
                <w:sz w:val="19"/>
              </w:rPr>
              <w:t>Orçamento e previsão aprovados e versionados.</w:t>
            </w:r>
          </w:p>
        </w:tc>
        <w:tc>
          <w:tcPr>
            <w:tcW w:type="dxa" w:w="3960"/>
            <w:vAlign w:val="center"/>
            <w:shd w:fill="F3F5F6"/>
          </w:tcPr>
          <w:p>
            <w:pPr>
              <w:widowControl/>
              <w:spacing w:line="245" w:lineRule="auto" w:before="20" w:after="20"/>
            </w:pPr>
            <w:r>
              <w:rPr>
                <w:rFonts w:ascii="Arial" w:hAnsi="Arial"/>
                <w:sz w:val="19"/>
              </w:rPr>
              <w:t>Rev03 válida, fórmula corrigida, base de preços, EAP, contingências e responsável por previsão.</w:t>
            </w:r>
          </w:p>
        </w:tc>
        <w:tc>
          <w:tcPr>
            <w:tcW w:type="dxa" w:w="1584"/>
            <w:vAlign w:val="center"/>
            <w:shd w:fill="F3F5F6"/>
          </w:tcPr>
          <w:p>
            <w:pPr>
              <w:widowControl/>
              <w:spacing w:line="245" w:lineRule="auto" w:before="20" w:after="20"/>
              <w:jc w:val="center"/>
            </w:pPr>
            <w:r>
              <w:rPr>
                <w:rFonts w:ascii="Arial" w:hAnsi="Arial"/>
                <w:sz w:val="19"/>
              </w:rPr>
              <w:t>Engenharia e financeiro</w:t>
            </w:r>
          </w:p>
        </w:tc>
      </w:tr>
      <w:tr>
        <w:trPr>
          <w:cantSplit/>
        </w:trPr>
        <w:tc>
          <w:tcPr>
            <w:tcW w:type="dxa" w:w="720"/>
            <w:vAlign w:val="center"/>
          </w:tcPr>
          <w:p>
            <w:pPr>
              <w:widowControl/>
              <w:spacing w:line="245" w:lineRule="auto" w:before="20" w:after="20"/>
              <w:jc w:val="center"/>
            </w:pPr>
            <w:r>
              <w:rPr>
                <w:rFonts w:ascii="Arial" w:hAnsi="Arial"/>
                <w:sz w:val="19"/>
              </w:rPr>
              <w:t>D11</w:t>
            </w:r>
          </w:p>
        </w:tc>
        <w:tc>
          <w:tcPr>
            <w:tcW w:type="dxa" w:w="3816"/>
            <w:vAlign w:val="center"/>
          </w:tcPr>
          <w:p>
            <w:pPr>
              <w:widowControl/>
              <w:spacing w:line="245" w:lineRule="auto" w:before="20" w:after="20"/>
            </w:pPr>
            <w:r>
              <w:rPr>
                <w:rFonts w:ascii="Arial" w:hAnsi="Arial"/>
                <w:sz w:val="19"/>
              </w:rPr>
              <w:t>Correções em períodos fechados.</w:t>
            </w:r>
          </w:p>
        </w:tc>
        <w:tc>
          <w:tcPr>
            <w:tcW w:type="dxa" w:w="3960"/>
            <w:vAlign w:val="center"/>
          </w:tcPr>
          <w:p>
            <w:pPr>
              <w:widowControl/>
              <w:spacing w:line="245" w:lineRule="auto" w:before="20" w:after="20"/>
            </w:pPr>
            <w:r>
              <w:rPr>
                <w:rFonts w:ascii="Arial" w:hAnsi="Arial"/>
                <w:sz w:val="19"/>
              </w:rPr>
              <w:t>Alçadas, materialidade, retificação, reabertura e apresentação contábil.</w:t>
            </w:r>
          </w:p>
        </w:tc>
        <w:tc>
          <w:tcPr>
            <w:tcW w:type="dxa" w:w="1584"/>
            <w:vAlign w:val="center"/>
          </w:tcPr>
          <w:p>
            <w:pPr>
              <w:widowControl/>
              <w:spacing w:line="245" w:lineRule="auto" w:before="20" w:after="20"/>
              <w:jc w:val="center"/>
            </w:pPr>
            <w:r>
              <w:rPr>
                <w:rFonts w:ascii="Arial" w:hAnsi="Arial"/>
                <w:sz w:val="19"/>
              </w:rPr>
              <w:t>Financeiro e contador</w:t>
            </w:r>
          </w:p>
        </w:tc>
      </w:tr>
      <w:tr>
        <w:trPr>
          <w:cantSplit/>
        </w:trPr>
        <w:tc>
          <w:tcPr>
            <w:tcW w:type="dxa" w:w="720"/>
            <w:vAlign w:val="center"/>
            <w:shd w:fill="F3F5F6"/>
          </w:tcPr>
          <w:p>
            <w:pPr>
              <w:widowControl/>
              <w:spacing w:line="245" w:lineRule="auto" w:before="20" w:after="20"/>
              <w:jc w:val="center"/>
            </w:pPr>
            <w:r>
              <w:rPr>
                <w:rFonts w:ascii="Arial" w:hAnsi="Arial"/>
                <w:sz w:val="19"/>
              </w:rPr>
              <w:t>D12</w:t>
            </w:r>
          </w:p>
        </w:tc>
        <w:tc>
          <w:tcPr>
            <w:tcW w:type="dxa" w:w="3816"/>
            <w:vAlign w:val="center"/>
            <w:shd w:fill="F3F5F6"/>
          </w:tcPr>
          <w:p>
            <w:pPr>
              <w:widowControl/>
              <w:spacing w:line="245" w:lineRule="auto" w:before="20" w:after="20"/>
            </w:pPr>
            <w:r>
              <w:rPr>
                <w:rFonts w:ascii="Arial" w:hAnsi="Arial"/>
                <w:sz w:val="19"/>
              </w:rPr>
              <w:t>Publicação condicionada à qualidade por indicador.</w:t>
            </w:r>
          </w:p>
        </w:tc>
        <w:tc>
          <w:tcPr>
            <w:tcW w:type="dxa" w:w="3960"/>
            <w:vAlign w:val="center"/>
            <w:shd w:fill="F3F5F6"/>
          </w:tcPr>
          <w:p>
            <w:pPr>
              <w:widowControl/>
              <w:spacing w:line="245" w:lineRule="auto" w:before="20" w:after="20"/>
            </w:pPr>
            <w:r>
              <w:rPr>
                <w:rFonts w:ascii="Arial" w:hAnsi="Arial"/>
                <w:sz w:val="19"/>
              </w:rPr>
              <w:t>Lacunas bloqueantes, tolerâncias, atualização esperada e exceções aceitáveis.</w:t>
            </w:r>
          </w:p>
        </w:tc>
        <w:tc>
          <w:tcPr>
            <w:tcW w:type="dxa" w:w="1584"/>
            <w:vAlign w:val="center"/>
            <w:shd w:fill="F3F5F6"/>
          </w:tcPr>
          <w:p>
            <w:pPr>
              <w:widowControl/>
              <w:spacing w:line="245" w:lineRule="auto" w:before="20" w:after="20"/>
              <w:jc w:val="center"/>
            </w:pPr>
            <w:r>
              <w:rPr>
                <w:rFonts w:ascii="Arial" w:hAnsi="Arial"/>
                <w:sz w:val="19"/>
              </w:rPr>
              <w:t>Financeiro</w:t>
            </w:r>
          </w:p>
        </w:tc>
      </w:tr>
      <w:tr>
        <w:trPr>
          <w:cantSplit/>
        </w:trPr>
        <w:tc>
          <w:tcPr>
            <w:tcW w:type="dxa" w:w="720"/>
            <w:vAlign w:val="center"/>
          </w:tcPr>
          <w:p>
            <w:pPr>
              <w:widowControl/>
              <w:spacing w:line="245" w:lineRule="auto" w:before="20" w:after="20"/>
              <w:jc w:val="center"/>
            </w:pPr>
            <w:r>
              <w:rPr>
                <w:rFonts w:ascii="Arial" w:hAnsi="Arial"/>
                <w:sz w:val="19"/>
              </w:rPr>
              <w:t>D13</w:t>
            </w:r>
          </w:p>
        </w:tc>
        <w:tc>
          <w:tcPr>
            <w:tcW w:type="dxa" w:w="3816"/>
            <w:vAlign w:val="center"/>
          </w:tcPr>
          <w:p>
            <w:pPr>
              <w:widowControl/>
              <w:spacing w:line="245" w:lineRule="auto" w:before="20" w:after="20"/>
            </w:pPr>
            <w:r>
              <w:rPr>
                <w:rFonts w:ascii="Arial" w:hAnsi="Arial"/>
                <w:sz w:val="19"/>
              </w:rPr>
              <w:t>Operações entre entidades e obras.</w:t>
            </w:r>
          </w:p>
        </w:tc>
        <w:tc>
          <w:tcPr>
            <w:tcW w:type="dxa" w:w="3960"/>
            <w:vAlign w:val="center"/>
          </w:tcPr>
          <w:p>
            <w:pPr>
              <w:widowControl/>
              <w:spacing w:line="245" w:lineRule="auto" w:before="20" w:after="20"/>
            </w:pPr>
            <w:r>
              <w:rPr>
                <w:rFonts w:ascii="Arial" w:hAnsi="Arial"/>
                <w:sz w:val="19"/>
              </w:rPr>
              <w:t>Natureza, comprovação, contas de controle e perímetro de eliminação.</w:t>
            </w:r>
          </w:p>
        </w:tc>
        <w:tc>
          <w:tcPr>
            <w:tcW w:type="dxa" w:w="1584"/>
            <w:vAlign w:val="center"/>
          </w:tcPr>
          <w:p>
            <w:pPr>
              <w:widowControl/>
              <w:spacing w:line="245" w:lineRule="auto" w:before="20" w:after="20"/>
              <w:jc w:val="center"/>
            </w:pPr>
            <w:r>
              <w:rPr>
                <w:rFonts w:ascii="Arial" w:hAnsi="Arial"/>
                <w:sz w:val="19"/>
              </w:rPr>
              <w:t>Financeiro e contador</w:t>
            </w:r>
          </w:p>
        </w:tc>
      </w:tr>
      <w:tr>
        <w:trPr>
          <w:cantSplit/>
        </w:trPr>
        <w:tc>
          <w:tcPr>
            <w:tcW w:type="dxa" w:w="720"/>
            <w:vAlign w:val="center"/>
            <w:shd w:fill="F3F5F6"/>
          </w:tcPr>
          <w:p>
            <w:pPr>
              <w:widowControl/>
              <w:spacing w:line="245" w:lineRule="auto" w:before="20" w:after="20"/>
              <w:jc w:val="center"/>
            </w:pPr>
            <w:r>
              <w:rPr>
                <w:rFonts w:ascii="Arial" w:hAnsi="Arial"/>
                <w:sz w:val="19"/>
              </w:rPr>
              <w:t>D14</w:t>
            </w:r>
          </w:p>
        </w:tc>
        <w:tc>
          <w:tcPr>
            <w:tcW w:type="dxa" w:w="3816"/>
            <w:vAlign w:val="center"/>
            <w:shd w:fill="F3F5F6"/>
          </w:tcPr>
          <w:p>
            <w:pPr>
              <w:widowControl/>
              <w:spacing w:line="245" w:lineRule="auto" w:before="20" w:after="20"/>
            </w:pPr>
            <w:r>
              <w:rPr>
                <w:rFonts w:ascii="Arial" w:hAnsi="Arial"/>
                <w:sz w:val="19"/>
              </w:rPr>
              <w:t>Homologação e migração das regras.</w:t>
            </w:r>
          </w:p>
        </w:tc>
        <w:tc>
          <w:tcPr>
            <w:tcW w:type="dxa" w:w="3960"/>
            <w:vAlign w:val="center"/>
            <w:shd w:fill="F3F5F6"/>
          </w:tcPr>
          <w:p>
            <w:pPr>
              <w:widowControl/>
              <w:spacing w:line="245" w:lineRule="auto" w:before="20" w:after="20"/>
            </w:pPr>
            <w:r>
              <w:rPr>
                <w:rFonts w:ascii="Arial" w:hAnsi="Arial"/>
                <w:sz w:val="19"/>
              </w:rPr>
              <w:t>Versão de política, amostra rastreável, pontes de saldo e responsável pelo aceite.</w:t>
            </w:r>
          </w:p>
        </w:tc>
        <w:tc>
          <w:tcPr>
            <w:tcW w:type="dxa" w:w="1584"/>
            <w:vAlign w:val="center"/>
            <w:shd w:fill="F3F5F6"/>
          </w:tcPr>
          <w:p>
            <w:pPr>
              <w:widowControl/>
              <w:spacing w:line="245" w:lineRule="auto" w:before="20" w:after="20"/>
              <w:jc w:val="center"/>
            </w:pPr>
            <w:r>
              <w:rPr>
                <w:rFonts w:ascii="Arial" w:hAnsi="Arial"/>
                <w:sz w:val="19"/>
              </w:rPr>
              <w:t>Financeiro e tecnologia</w:t>
            </w:r>
          </w:p>
        </w:tc>
      </w:tr>
    </w:tbl>
    <w:p>
      <w:pPr>
        <w:spacing w:after="40" w:before="0" w:line="96" w:lineRule="auto"/>
      </w:pPr>
      <w:r>
        <w:rPr>
          <w:sz w:val="4"/>
        </w:rPr>
      </w:r>
    </w:p>
    <w:p>
      <w:pPr>
        <w:pStyle w:val="Heading1"/>
      </w:pPr>
      <w:r>
        <w:rPr>
          <w:b w:val="0"/>
        </w:rPr>
        <w:t>14 Critérios de aceite da implementação</w:t>
      </w:r>
    </w:p>
    <w:p>
      <w:r>
        <w:rPr>
          <w:b w:val="0"/>
        </w:rPr>
        <w:t>A homologação deve usar cópia controlada, arquivos de referência preservados e resultados esperados. Os casos abaixo verificam as regras, sem presumir que telas, código ou banco atuais já as atendam.</w:t>
      </w:r>
    </w:p>
    <w:p>
      <w:pPr>
        <w:pStyle w:val="ListBullet"/>
      </w:pPr>
      <w:r>
        <w:rPr>
          <w:b w:val="0"/>
        </w:rPr>
        <w:t>Reimportar a mesma carteira não altera quantidade nem total; importar uma versão nova preserva o histórico.</w:t>
      </w:r>
    </w:p>
    <w:p>
      <w:pPr>
        <w:pStyle w:val="ListBullet"/>
      </w:pPr>
      <w:r>
        <w:rPr>
          <w:b w:val="0"/>
        </w:rPr>
        <w:t>Criar título de um contrato apenas transfere cobertura de C para R, quando preço e escopo não mudam.</w:t>
      </w:r>
    </w:p>
    <w:p>
      <w:pPr>
        <w:pStyle w:val="ListBullet"/>
      </w:pPr>
      <w:r>
        <w:rPr>
          <w:b w:val="0"/>
        </w:rPr>
        <w:t>Aplicar adiantamento não cria caixa nem abate novamente Q; o exemplo 12 1 fecha nos quatro estados.</w:t>
      </w:r>
    </w:p>
    <w:p>
      <w:pPr>
        <w:pStyle w:val="ListBullet"/>
      </w:pPr>
      <w:r>
        <w:rPr>
          <w:b w:val="0"/>
        </w:rPr>
        <w:t>Converter medição sem nota em título definitivo não duplica obrigação nem custo.</w:t>
      </w:r>
    </w:p>
    <w:p>
      <w:pPr>
        <w:pStyle w:val="ListBullet"/>
      </w:pPr>
      <w:r>
        <w:rPr>
          <w:b w:val="0"/>
        </w:rPr>
        <w:t>Desdobrar retenção e tributo preserva o bruto e soma somente os componentes pagáveis ativos.</w:t>
      </w:r>
    </w:p>
    <w:p>
      <w:pPr>
        <w:pStyle w:val="ListBullet"/>
      </w:pPr>
      <w:r>
        <w:rPr>
          <w:b w:val="0"/>
        </w:rPr>
        <w:t>Parciais, juros, descontos e devoluções reproduzem exatamente o exemplo 12 3.</w:t>
      </w:r>
    </w:p>
    <w:p>
      <w:pPr>
        <w:pStyle w:val="ListBullet"/>
      </w:pPr>
      <w:r>
        <w:rPr>
          <w:b w:val="0"/>
        </w:rPr>
        <w:t>Recebimento líquido fecha banco, recebível e tarifa sem dívida artificial.</w:t>
      </w:r>
    </w:p>
    <w:p>
      <w:pPr>
        <w:pStyle w:val="ListBullet"/>
      </w:pPr>
      <w:r>
        <w:rPr>
          <w:b w:val="0"/>
        </w:rPr>
        <w:t>Rateios fecham no centavo; múltiplos centros sem valores geram pendência e não distribuição presumida.</w:t>
      </w:r>
    </w:p>
    <w:p>
      <w:pPr>
        <w:pStyle w:val="ListBullet"/>
      </w:pPr>
      <w:r>
        <w:rPr>
          <w:b w:val="0"/>
        </w:rPr>
        <w:t>Recurso sem obra permanece no total da entidade e não entra automaticamente no Flow.</w:t>
      </w:r>
    </w:p>
    <w:p>
      <w:pPr>
        <w:pStyle w:val="ListBullet"/>
      </w:pPr>
      <w:r>
        <w:rPr>
          <w:b w:val="0"/>
        </w:rPr>
        <w:t>Cancelamento, substituição e renegociação preservam o vínculo original e os relatórios de cortes anteriores.</w:t>
      </w:r>
    </w:p>
    <w:p>
      <w:pPr>
        <w:pStyle w:val="ListBullet"/>
      </w:pPr>
      <w:r>
        <w:rPr>
          <w:b w:val="0"/>
        </w:rPr>
        <w:t>Transferências próprias não inflacionam fluxos externos e operações entre entidades só são eliminadas no perímetro aprovado.</w:t>
      </w:r>
    </w:p>
    <w:p>
      <w:pPr>
        <w:pStyle w:val="ListBullet"/>
      </w:pPr>
      <w:r>
        <w:rPr>
          <w:b w:val="0"/>
        </w:rPr>
        <w:t>Falhas de paginação, cobertura, orçamento ou vínculo impedem selo de completo no indicador afetado.</w:t>
      </w:r>
    </w:p>
    <w:p>
      <w:pPr>
        <w:pStyle w:val="ListBullet"/>
      </w:pPr>
      <w:r>
        <w:rPr>
          <w:b w:val="0"/>
        </w:rPr>
        <w:t>Dashboard, relatório, exportação e IA retornam a mesma composição para os mesmos filtros, T e K.</w:t>
      </w:r>
    </w:p>
    <w:p>
      <w:pPr>
        <w:pStyle w:val="ListBullet"/>
      </w:pPr>
      <w:r>
        <w:rPr>
          <w:b w:val="0"/>
        </w:rPr>
        <w:t>Antes de mudar o legado, emitir ponte entre saldo anterior e proposto, com cada diferença explicada e aprovada.</w:t>
      </w:r>
    </w:p>
    <w:p>
      <w:pPr>
        <w:pStyle w:val="Heading1"/>
        <w:pageBreakBefore/>
      </w:pPr>
      <w:r>
        <w:rPr>
          <w:b w:val="0"/>
        </w:rPr>
        <w:t>15 Fontes e referências</w:t>
      </w:r>
    </w:p>
    <w:p>
      <w:r>
        <w:rPr>
          <w:b w:val="0"/>
        </w:rPr>
        <w:t>S1. Catalogo_Conferencia_Financeira_Elos_OS.html, preparado em 21/10/2026. Seções Comparabilidade, O que falta para conferir os indicadores P01 a P12, Catálogo F001 a F027, Controles e Duplicatas exatas.</w:t>
      </w:r>
    </w:p>
    <w:p>
      <w:r>
        <w:rPr>
          <w:b w:val="0"/>
        </w:rPr>
        <w:t>S2. Elos_OS_Koper_Handoff_Claude.docx, disponibilizado em 10/10/2026, 4 páginas. Seções 1 e 2 sobre origem e regras históricas; seção 5 sobre vínculos e identificação de obra; seções 8 e 9 sobre reconciliação e preservação. Os retratos financeiros internos são históricos.</w:t>
      </w:r>
    </w:p>
    <w:p>
      <w:r>
        <w:rPr>
          <w:b w:val="0"/>
        </w:rPr>
        <w:t>S3. Base_Conferencia_Financeira_Elos_OS.zip, organizado em 21/10/2026. Preserva originais e derivados rastreáveis. Conferência direcionada das estruturas F011 e conversões F024/F027; não substitui a auditoria integral de saldo atual.</w:t>
      </w:r>
    </w:p>
    <w:p>
      <w:r>
        <w:rPr>
          <w:b w:val="0"/>
        </w:rPr>
        <w:t>N1. CPC 00 (R2), Estrutura Conceitual, itens 1.17 e 1.20, texto oficial anexado à Resolução CVM 136. Referência conceitual para competência e caixa; enquadramento da entidade a confirmar. Consulta em 21/10/2026.</w:t>
      </w:r>
    </w:p>
    <w:p>
      <w:pPr>
        <w:spacing w:after="140"/>
      </w:pPr>
      <w:hyperlink r:id="rId9">
        <w:r>
          <w:rPr>
            <w:color w:val="1F4E79"/>
            <w:sz w:val="20"/>
          </w:rPr>
          <w:t>CPC 00 R2 no portal CVM</w:t>
        </w:r>
      </w:hyperlink>
    </w:p>
    <w:p>
      <w:r>
        <w:rPr>
          <w:b w:val="0"/>
        </w:rPr>
        <w:t>N2. CPC 03 (R2), itens 6 a 12 e 43 a 45. Conceitos de caixa, transferências, componentes e operações sem caixa. Consulta ao arquivo oficial Rev. 24 em 21/10/2026.</w:t>
      </w:r>
    </w:p>
    <w:p>
      <w:pPr>
        <w:spacing w:after="140"/>
      </w:pPr>
      <w:hyperlink r:id="rId10">
        <w:r>
          <w:rPr>
            <w:color w:val="1F4E79"/>
            <w:sz w:val="20"/>
          </w:rPr>
          <w:t>CPC 03 R2</w:t>
        </w:r>
      </w:hyperlink>
    </w:p>
    <w:p>
      <w:r>
        <w:rPr>
          <w:b w:val="0"/>
        </w:rPr>
        <w:t>N3. CPC 23, itens 32 a 38 e 41 a 49. Estimativas e erros de períodos anteriores. Consulta ao arquivo oficial Rev. 20 em 21/10/2026.</w:t>
      </w:r>
    </w:p>
    <w:p>
      <w:pPr>
        <w:spacing w:after="140"/>
      </w:pPr>
      <w:hyperlink r:id="rId11">
        <w:r>
          <w:rPr>
            <w:color w:val="1F4E79"/>
            <w:sz w:val="20"/>
          </w:rPr>
          <w:t>CPC 23</w:t>
        </w:r>
      </w:hyperlink>
    </w:p>
    <w:p>
      <w:r>
        <w:rPr>
          <w:b w:val="0"/>
        </w:rPr>
        <w:t>N4. CPC 47, itens 31 a 35 e 105 a 108. Desempenho, recebíveis e relação entre pagamento e contrato. Consulta ao arquivo oficial oferecido como Rev. 21 em 21/10/2026.</w:t>
      </w:r>
    </w:p>
    <w:p>
      <w:pPr>
        <w:spacing w:after="140"/>
      </w:pPr>
      <w:hyperlink r:id="rId12">
        <w:r>
          <w:rPr>
            <w:color w:val="1F4E79"/>
            <w:sz w:val="20"/>
          </w:rPr>
          <w:t>CPC 47</w:t>
        </w:r>
      </w:hyperlink>
    </w:p>
    <w:p>
      <w:r>
        <w:rPr>
          <w:b w:val="0"/>
        </w:rPr>
        <w:t>As referências oficiais sustentam conceitos. Critérios específicos de reconhecimento contábil, tributação e apresentação dependem do enquadramento da entidade e das decisões registradas. O aceite funcional deve identificar a versão aprovada deste documento e a evidência de cada teste.</w:t>
      </w:r>
    </w:p>
    <w:sectPr w:rsidR="00FC693F" w:rsidRPr="0006063C" w:rsidSect="00034616">
      <w:footerReference w:type="default" r:id="rId13"/>
      <w:pgSz w:w="12240" w:h="15840"/>
      <w:pgMar w:top="1037" w:right="1080" w:bottom="1037"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color w:val="5A5A5A"/>
        <w:sz w:val="16"/>
      </w:rPr>
      <w:t xml:space="preserve">Elos OS | Regras financeiras v0.1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18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8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2" w:lineRule="auto"/>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nteudo.cvm.gov.br/export/sites/cvm/legislacao/resolucoes/anexos/100/resol136.pdf" TargetMode="External"/><Relationship Id="rId10" Type="http://schemas.openxmlformats.org/officeDocument/2006/relationships/hyperlink" Target="https://www.cpc.org.br/Arquivos/Documentos/183_CPC_03_R2_rev%2024.pdf" TargetMode="External"/><Relationship Id="rId11" Type="http://schemas.openxmlformats.org/officeDocument/2006/relationships/hyperlink" Target="https://www.cpc.org.br/Arquivos/Documentos/296_CPC_23_rev%2020.pdf" TargetMode="External"/><Relationship Id="rId12" Type="http://schemas.openxmlformats.org/officeDocument/2006/relationships/hyperlink" Target="https://www.cpc.org.br/Arquivos/Documentos/527_CPC_47_Rev%2021.pdf"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Regras financeiras do Elos OS</dc:title>
  <dc:subject>Proposta de regras gerenciais, fontes, cálculos e controles do Elos OS</dc:subject>
  <dc:creator>Elos OS</dc:creator>
  <cp:keywords>financeiro, regras, indicadores, conciliação, apropriação</cp:keywords>
  <dc:description>generated by python-docx</dc:description>
  <cp:lastModifiedBy/>
  <cp:revision>1</cp:revision>
  <dcterms:created xsi:type="dcterms:W3CDTF">2013-12-23T23:15:00Z</dcterms:created>
  <dcterms:modified xsi:type="dcterms:W3CDTF">2013-12-23T23:15:00Z</dcterms:modified>
  <cp:category/>
</cp:coreProperties>
</file>