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color w:val="5c5855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Non-software content in this project is licensed under a</w:t>
      </w:r>
      <w:r w:rsidDel="00000000" w:rsidR="00000000" w:rsidRPr="00000000">
        <w:rPr>
          <w:color w:val="464646"/>
          <w:sz w:val="29"/>
          <w:szCs w:val="29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049ccf"/>
            <w:sz w:val="29"/>
            <w:szCs w:val="29"/>
            <w:highlight w:val="white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color w:val="464646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GNU GENERAL PUBLIC LICENSE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Copyright (C) 2007 Free Software Foundation, Inc. &lt;https://fsf.org/&gt;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your programs, too.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know their rights.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authors of previous versions.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modification follow.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0. Definitions.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on the Program.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1. Source Code.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form of a work.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Source.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same work.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2. Basic Permissions.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makes it unnecessary.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measures.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technological measures.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"keep intact all notices".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parts of the aggregate.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one of these ways: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with subsection 6b.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modification has been made.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been installed in ROM).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7. Additional Terms.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8. Termination.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paragraph of section 11).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your receipt of the notice.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material under section 10.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11. Patents.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this License.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patent against the party.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 and works based on it.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combination as such.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later version.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15. Disclaimer of Warranty.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SUCH DAMAGES.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&lt;https://www.gnu.org/licenses/why-not-lgpl.html&gt;.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