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81.png" ContentType="image/png"/>
  <Override PartName="/word/media/rId38.png" ContentType="image/png"/>
  <Override PartName="/word/media/rId42.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5f0a28776f650c86498759bdaa9332425fb5826"/>
    <w:p>
      <w:pPr>
        <w:pStyle w:val="Heading1"/>
      </w:pPr>
      <w:r>
        <w:t xml:space="preserve">AI Skills Transformation Trends and Enterprise Learning Strategy: 2026 Update with Implementation Roadmap</w:t>
      </w:r>
    </w:p>
    <w:bookmarkStart w:id="29" w:name="executive-summary"/>
    <w:p>
      <w:pPr>
        <w:pStyle w:val="Heading2"/>
      </w:pPr>
      <w:r>
        <w:t xml:space="preserve">Executive Summary</w:t>
      </w:r>
    </w:p>
    <w:p>
      <w:pPr>
        <w:pStyle w:val="FirstParagraph"/>
      </w:pPr>
      <w:r>
        <w:t xml:space="preserve">Enterprise AI investments are failing to deliver returns primarily because organizations misallocate resources toward technology while neglecting the workforce capability that drives 70% of AI value. BCG’s 10-20-70 model [</w:t>
      </w:r>
      <w:hyperlink r:id="rId22">
        <w:r>
          <w:rPr>
            <w:rStyle w:val="Hyperlink"/>
          </w:rPr>
          <w:t xml:space="preserve">1</w:t>
        </w:r>
      </w:hyperlink>
      <w:r>
        <w:t xml:space="preserve">] reveals that people, process, and organizational change—not algorithms or infrastructure—determine whether AI deployments generate business impact. This finding explains why over 60% of companies using generative AI report no significant bottom-line improvement [</w:t>
      </w:r>
      <w:hyperlink r:id="rId23">
        <w:r>
          <w:rPr>
            <w:rStyle w:val="Hyperlink"/>
          </w:rPr>
          <w:t xml:space="preserve">2</w:t>
        </w:r>
      </w:hyperlink>
      <w:r>
        <w:t xml:space="preserve">] and why 95% of unstructured AI experiments produce zero returns [</w:t>
      </w:r>
      <w:hyperlink r:id="rId24">
        <w:r>
          <w:rPr>
            <w:rStyle w:val="Hyperlink"/>
          </w:rPr>
          <w:t xml:space="preserve">3</w:t>
        </w:r>
      </w:hyperlink>
      <w:r>
        <w:t xml:space="preserve">].</w:t>
      </w:r>
    </w:p>
    <w:p>
      <w:pPr>
        <w:pStyle w:val="BodyText"/>
      </w:pPr>
      <w:r>
        <w:t xml:space="preserve">The clearest evidence of what works comes from the 6% of large companies qualifying as AI-adoption leaders, whose workforces contain 13% AI-skilled employees versus just 1% at laggards [</w:t>
      </w:r>
      <w:hyperlink r:id="rId22">
        <w:r>
          <w:rPr>
            <w:rStyle w:val="Hyperlink"/>
          </w:rPr>
          <w:t xml:space="preserve">1</w:t>
        </w:r>
      </w:hyperlink>
      <w:r>
        <w:t xml:space="preserve">]. These leaders outperform peers by 9.3 percentage points in total shareholder return and plan to upskill more than 50% of their workforce [</w:t>
      </w:r>
      <w:hyperlink r:id="rId22">
        <w:r>
          <w:rPr>
            <w:rStyle w:val="Hyperlink"/>
          </w:rPr>
          <w:t xml:space="preserve">1</w:t>
        </w:r>
      </w:hyperlink>
      <w:r>
        <w:t xml:space="preserve">,</w:t>
      </w:r>
      <w:r>
        <w:t xml:space="preserve"> </w:t>
      </w:r>
      <w:hyperlink r:id="rId25">
        <w:r>
          <w:rPr>
            <w:rStyle w:val="Hyperlink"/>
          </w:rPr>
          <w:t xml:space="preserve">4</w:t>
        </w:r>
      </w:hyperlink>
      <w:r>
        <w:t xml:space="preserve">]. Their approach follows a structured Foundational → Applied → Embedded learning architecture [</w:t>
      </w:r>
      <w:hyperlink r:id="rId22">
        <w:r>
          <w:rPr>
            <w:rStyle w:val="Hyperlink"/>
          </w:rPr>
          <w:t xml:space="preserve">1</w:t>
        </w:r>
      </w:hyperlink>
      <w:r>
        <w:t xml:space="preserve">] delivered through focused 90-180 day sprints tied to measurable business missions rather than scattered experimentation [</w:t>
      </w:r>
      <w:hyperlink r:id="rId22">
        <w:r>
          <w:rPr>
            <w:rStyle w:val="Hyperlink"/>
          </w:rPr>
          <w:t xml:space="preserve">1</w:t>
        </w:r>
      </w:hyperlink>
      <w:r>
        <w:t xml:space="preserve">,</w:t>
      </w:r>
      <w:r>
        <w:t xml:space="preserve"> </w:t>
      </w:r>
      <w:hyperlink r:id="rId26">
        <w:r>
          <w:rPr>
            <w:rStyle w:val="Hyperlink"/>
          </w:rPr>
          <w:t xml:space="preserve">5</w:t>
        </w:r>
      </w:hyperlink>
      <w:r>
        <w:t xml:space="preserve">]. Organizations with mature upskilling programs are nearly twice as likely to report significant positive AI ROI [</w:t>
      </w:r>
      <w:hyperlink r:id="rId27">
        <w:r>
          <w:rPr>
            <w:rStyle w:val="Hyperlink"/>
          </w:rPr>
          <w:t xml:space="preserve">6</w:t>
        </w:r>
      </w:hyperlink>
      <w:r>
        <w:t xml:space="preserve">].</w:t>
      </w:r>
    </w:p>
    <w:p>
      <w:pPr>
        <w:pStyle w:val="BodyText"/>
      </w:pPr>
      <w:r>
        <w:t xml:space="preserve">The most actionable insight is that middle management activation—not broader training volume—is the highest-leverage intervention. Mature organizations show 88% of managers role-modeling AI use versus 25% at laggards [</w:t>
      </w:r>
      <w:hyperlink r:id="rId22">
        <w:r>
          <w:rPr>
            <w:rStyle w:val="Hyperlink"/>
          </w:rPr>
          <w:t xml:space="preserve">1</w:t>
        </w:r>
      </w:hyperlink>
      <w:r>
        <w:t xml:space="preserve">], and without managerial guidance, 66% of frontline workers gaining productivity from AI have no direction on reinvesting that time [</w:t>
      </w:r>
      <w:hyperlink r:id="rId22">
        <w:r>
          <w:rPr>
            <w:rStyle w:val="Hyperlink"/>
          </w:rPr>
          <w:t xml:space="preserve">1</w:t>
        </w:r>
      </w:hyperlink>
      <w:r>
        <w:t xml:space="preserve">]. Enterprises should rebalance investment toward the people dimension, deploy role-based tiered learning with sprint-based proof points, embed responsible-AI governance aligned to EU AI Act timelines [</w:t>
      </w:r>
      <w:hyperlink r:id="rId28">
        <w:r>
          <w:rPr>
            <w:rStyle w:val="Hyperlink"/>
          </w:rPr>
          <w:t xml:space="preserve">7</w:t>
        </w:r>
      </w:hyperlink>
      <w:r>
        <w:t xml:space="preserve">], and equip managers to translate strategy into daily workflow change.</w:t>
      </w:r>
    </w:p>
    <w:bookmarkEnd w:id="29"/>
    <w:bookmarkStart w:id="35" w:name="X5dac6be1f2bc1523a551687303693824d750dc1"/>
    <w:p>
      <w:pPr>
        <w:pStyle w:val="Heading2"/>
      </w:pPr>
      <w:r>
        <w:t xml:space="preserve">Introduction: The AI Skills Imperative in 2025-2026</w:t>
      </w:r>
    </w:p>
    <w:p>
      <w:pPr>
        <w:pStyle w:val="FirstParagraph"/>
      </w:pPr>
      <w:r>
        <w:t xml:space="preserve">The enterprise AI landscape in 2025-2026 presents a striking paradox: while approximately 80% of companies now use generative AI in at least one business function, more than 60% report seeing no significant bottom-line impact [</w:t>
      </w:r>
      <w:hyperlink r:id="rId23">
        <w:r>
          <w:rPr>
            <w:rStyle w:val="Hyperlink"/>
          </w:rPr>
          <w:t xml:space="preserve">2</w:t>
        </w:r>
      </w:hyperlink>
      <w:r>
        <w:t xml:space="preserve">]. Enterprise-wide AI implementation has doubled year over year, with 24% of organizations reporting full-scale adoption in 2026, up from 12% in 2025 [</w:t>
      </w:r>
      <w:hyperlink r:id="rId30">
        <w:r>
          <w:rPr>
            <w:rStyle w:val="Hyperlink"/>
          </w:rPr>
          <w:t xml:space="preserve">8</w:t>
        </w:r>
      </w:hyperlink>
      <w:r>
        <w:t xml:space="preserve">]. Yet this rapid technology deployment has not translated into proportional value creation, revealing a fundamental misalignment between investment priorities and the true drivers of AI-powered transformation.</w:t>
      </w:r>
    </w:p>
    <w:p>
      <w:pPr>
        <w:pStyle w:val="BodyText"/>
      </w:pPr>
      <w:r>
        <w:t xml:space="preserve">The skills dimension of this challenge is acute. According to the World Economic Forum, 94% of leaders face AI-critical skill shortages today, with one in three reporting gaps of 40% or more [</w:t>
      </w:r>
      <w:hyperlink r:id="rId31">
        <w:r>
          <w:rPr>
            <w:rStyle w:val="Hyperlink"/>
          </w:rPr>
          <w:t xml:space="preserve">9</w:t>
        </w:r>
      </w:hyperlink>
      <w:r>
        <w:t xml:space="preserve">]. Far from eliminating jobs, AI has already created 1.3 million new roles according to LinkedIn data [</w:t>
      </w:r>
      <w:hyperlink r:id="rId32">
        <w:r>
          <w:rPr>
            <w:rStyle w:val="Hyperlink"/>
          </w:rPr>
          <w:t xml:space="preserve">10</w:t>
        </w:r>
      </w:hyperlink>
      <w:r>
        <w:t xml:space="preserve">], while AI engineering positions surged 255% year over year and U.S. postings for AI and machine learning roles jumped 163% from 2024 to 2025 [</w:t>
      </w:r>
      <w:hyperlink r:id="rId33">
        <w:r>
          <w:rPr>
            <w:rStyle w:val="Hyperlink"/>
          </w:rPr>
          <w:t xml:space="preserve">11</w:t>
        </w:r>
      </w:hyperlink>
      <w:r>
        <w:t xml:space="preserve">]. A recent McKinsey survey highlights that 75% of U.S. workers anticipate their roles changing due to AI in the coming five years, yet only 45% have gone through a recent upskilling program [</w:t>
      </w:r>
      <w:hyperlink r:id="rId34">
        <w:r>
          <w:rPr>
            <w:rStyle w:val="Hyperlink"/>
          </w:rPr>
          <w:t xml:space="preserve">12</w:t>
        </w:r>
      </w:hyperlink>
      <w:r>
        <w:t xml:space="preserve">].</w:t>
      </w:r>
    </w:p>
    <w:p>
      <w:pPr>
        <w:pStyle w:val="BodyText"/>
      </w:pPr>
      <w:r>
        <w:t xml:space="preserve">BCG’s foundational insight reframes the entire conversation: their 10-20-70 model attributes AI value as 10% technology, 20% algorithms and data, and 70% people, process, and organizational change [</w:t>
      </w:r>
      <w:hyperlink r:id="rId22">
        <w:r>
          <w:rPr>
            <w:rStyle w:val="Hyperlink"/>
          </w:rPr>
          <w:t xml:space="preserve">1</w:t>
        </w:r>
      </w:hyperlink>
      <w:r>
        <w:t xml:space="preserve">]. This finding demands that enterprises redirect their transformation strategies from technology-centric deployments toward workforce-centric learning and capability building. This report synthesizes the latest research and best practices into a comprehensive enterprise learning and certification strategy with actionable recommendations for capturing the full value of AI investments.</w:t>
      </w:r>
    </w:p>
    <w:bookmarkEnd w:id="35"/>
    <w:bookmarkStart w:id="41" w:name="X64389c02471d396bacba2e1050fb33ef7f3ec29"/>
    <w:p>
      <w:pPr>
        <w:pStyle w:val="Heading2"/>
      </w:pPr>
      <w:r>
        <w:t xml:space="preserve">The AI-Adoption Leader Benchmark: What Separates the 6%</w:t>
      </w:r>
    </w:p>
    <w:p>
      <w:pPr>
        <w:pStyle w:val="FirstParagraph"/>
      </w:pPr>
      <w:r>
        <w:t xml:space="preserve">BCG’s outside-in analysis of more than 600 U.S. public companies with market caps above $5 billion identified only 6% as AI-adoption leaders, scoring across technology, talent, and deployment pillars equally [</w:t>
      </w:r>
      <w:hyperlink r:id="rId22">
        <w:r>
          <w:rPr>
            <w:rStyle w:val="Hyperlink"/>
          </w:rPr>
          <w:t xml:space="preserve">1</w:t>
        </w:r>
      </w:hyperlink>
      <w:r>
        <w:t xml:space="preserve">]. These leaders dramatically outperform their peers: their industry-adjusted total shareholder return was 9.3 percentage points above median over three years, with revenue growth 10 percentage points higher and margin expansion 6 percentage points higher [</w:t>
      </w:r>
      <w:hyperlink r:id="rId22">
        <w:r>
          <w:rPr>
            <w:rStyle w:val="Hyperlink"/>
          </w:rPr>
          <w:t xml:space="preserve">1</w:t>
        </w:r>
      </w:hyperlink>
      <w:r>
        <w:t xml:space="preserve">]. Critically, this outperformance is driven by revenue growth and margin expansion rather than investor hype [</w:t>
      </w:r>
      <w:hyperlink r:id="rId36">
        <w:r>
          <w:rPr>
            <w:rStyle w:val="Hyperlink"/>
          </w:rPr>
          <w:t xml:space="preserve">13</w:t>
        </w:r>
      </w:hyperlink>
      <w:r>
        <w:t xml:space="preserve">].</w:t>
      </w:r>
    </w:p>
    <w:p>
      <w:pPr>
        <w:pStyle w:val="BodyText"/>
      </w:pPr>
      <w:r>
        <w:t xml:space="preserve">The workforce composition difference between leaders and laggards is stark. At AI-adoption leaders, 13% of workers have AI-related skills compared with just 1% at laggards [</w:t>
      </w:r>
      <w:hyperlink r:id="rId22">
        <w:r>
          <w:rPr>
            <w:rStyle w:val="Hyperlink"/>
          </w:rPr>
          <w:t xml:space="preserve">1</w:t>
        </w:r>
      </w:hyperlink>
      <w:r>
        <w:t xml:space="preserve">]. Future-built companies plan to upskill more than 50% of employees on AI, compared with only 20% for laggards, and they are putting the organizational resources in place to support those goals [</w:t>
      </w:r>
      <w:hyperlink r:id="rId25">
        <w:r>
          <w:rPr>
            <w:rStyle w:val="Hyperlink"/>
          </w:rPr>
          <w:t xml:space="preserve">4</w:t>
        </w:r>
      </w:hyperlink>
      <w:r>
        <w:t xml:space="preserve">]. Despite these clear benchmarks, McKinsey finds that almost all companies invest in AI but just 1% believe they are at maturity [</w:t>
      </w:r>
      <w:hyperlink r:id="rId37">
        <w:r>
          <w:rPr>
            <w:rStyle w:val="Hyperlink"/>
          </w:rPr>
          <w:t xml:space="preserve">14</w:t>
        </w:r>
      </w:hyperlink>
      <w:r>
        <w:t xml:space="preserve">].</w:t>
      </w:r>
    </w:p>
    <w:p>
      <w:pPr>
        <w:pStyle w:val="CaptionedFigure"/>
      </w:pPr>
      <w:r>
        <w:drawing>
          <wp:inline>
            <wp:extent cx="6756400" cy="3659875"/>
            <wp:effectExtent b="0" l="0" r="0" t="0"/>
            <wp:docPr descr="AI-Adoption Leaders vs. Laggards Performance Comparison" title="" id="39" name="Picture"/>
            <a:graphic>
              <a:graphicData uri="http://schemas.openxmlformats.org/drawingml/2006/picture">
                <pic:pic>
                  <pic:nvPicPr>
                    <pic:cNvPr descr="/home/appuser/RESEARCH_EXPORT_WORKDIR/8f516c7f-efc3-4af6-a6fe-0e43c617f406/assets/9eeeff16-9220-48a0-956c-d7ceac4f1559.png" id="40" name="Picture"/>
                    <pic:cNvPicPr>
                      <a:picLocks noChangeArrowheads="1" noChangeAspect="1"/>
                    </pic:cNvPicPr>
                  </pic:nvPicPr>
                  <pic:blipFill>
                    <a:blip r:embed="rId38"/>
                    <a:stretch>
                      <a:fillRect/>
                    </a:stretch>
                  </pic:blipFill>
                  <pic:spPr bwMode="auto">
                    <a:xfrm>
                      <a:off x="0" y="0"/>
                      <a:ext cx="6756400" cy="3659875"/>
                    </a:xfrm>
                    <a:prstGeom prst="rect">
                      <a:avLst/>
                    </a:prstGeom>
                    <a:noFill/>
                    <a:ln w="9525">
                      <a:noFill/>
                      <a:headEnd/>
                      <a:tailEnd/>
                    </a:ln>
                  </pic:spPr>
                </pic:pic>
              </a:graphicData>
            </a:graphic>
          </wp:inline>
        </w:drawing>
      </w:r>
    </w:p>
    <w:p>
      <w:pPr>
        <w:pStyle w:val="ImageCaption"/>
      </w:pPr>
      <w:r>
        <w:t xml:space="preserve">AI-Adoption Leaders vs. Laggards Performance Comparison</w:t>
      </w:r>
    </w:p>
    <w:p>
      <w:pPr>
        <w:pStyle w:val="BodyText"/>
      </w:pPr>
      <w:r>
        <w:rPr>
          <w:i/>
          <w:iCs/>
        </w:rPr>
        <w:t xml:space="preserve">Chart Explanation</w:t>
      </w:r>
      <w:r>
        <w:t xml:space="preserve">: This chart illustrates the dramatic performance gap between the 6% of companies qualifying as AI-adoption leaders and laggards across three dimensions: total shareholder return outperformance (9.3pp vs. -1.7pp), AI-skilled workforce percentage (13% vs. 1%), and planned upskilling investment (50%+ vs. 20%) [</w:t>
      </w:r>
      <w:hyperlink r:id="rId22">
        <w:r>
          <w:rPr>
            <w:rStyle w:val="Hyperlink"/>
          </w:rPr>
          <w:t xml:space="preserve">1</w:t>
        </w:r>
      </w:hyperlink>
      <w:r>
        <w:t xml:space="preserve">,</w:t>
      </w:r>
      <w:r>
        <w:t xml:space="preserve"> </w:t>
      </w:r>
      <w:hyperlink r:id="rId25">
        <w:r>
          <w:rPr>
            <w:rStyle w:val="Hyperlink"/>
          </w:rPr>
          <w:t xml:space="preserve">4</w:t>
        </w:r>
      </w:hyperlink>
      <w:r>
        <w:t xml:space="preserve">].</w:t>
      </w:r>
    </w:p>
    <w:p>
      <w:pPr>
        <w:pStyle w:val="BodyText"/>
      </w:pPr>
      <w:r>
        <w:t xml:space="preserve">The implications are clear: the path to AI leadership runs through workforce capability, not technology acquisition alone. Organizations that treat AI transformation as primarily a technology deployment challenge—neglecting the 70% people and process component—consistently underperform [</w:t>
      </w:r>
      <w:hyperlink r:id="rId22">
        <w:r>
          <w:rPr>
            <w:rStyle w:val="Hyperlink"/>
          </w:rPr>
          <w:t xml:space="preserve">1</w:t>
        </w:r>
      </w:hyperlink>
      <w:r>
        <w:t xml:space="preserve">].</w:t>
      </w:r>
    </w:p>
    <w:bookmarkEnd w:id="41"/>
    <w:bookmarkStart w:id="47" w:name="role-based-learning-design-framework"/>
    <w:p>
      <w:pPr>
        <w:pStyle w:val="Heading2"/>
      </w:pPr>
      <w:r>
        <w:t xml:space="preserve">Role-Based Learning Design Framework</w:t>
      </w:r>
    </w:p>
    <w:p>
      <w:pPr>
        <w:pStyle w:val="FirstParagraph"/>
      </w:pPr>
      <w:r>
        <w:rPr>
          <w:b/>
          <w:bCs/>
        </w:rPr>
        <w:t xml:space="preserve">Three-Tier Curriculum Architecture.</w:t>
      </w:r>
      <w:r>
        <w:t xml:space="preserve"> </w:t>
      </w:r>
      <w:r>
        <w:t xml:space="preserve">Effective enterprise AI learning programs follow a Foundational → Applied → Embedded progression that maps to increasing depth of workflow integration [</w:t>
      </w:r>
      <w:hyperlink r:id="rId22">
        <w:r>
          <w:rPr>
            <w:rStyle w:val="Hyperlink"/>
          </w:rPr>
          <w:t xml:space="preserve">1</w:t>
        </w:r>
      </w:hyperlink>
      <w:r>
        <w:t xml:space="preserve">]. The Foundation tier covers AI fluency, approved tools, safe use, privacy and security, evaluation, bias awareness, judgment, and escalation protocols. The Applied tier moves into real workflow practice, simulations, role play, use-case sprints, coaching, and evaluated artifacts. The Embedded tier sustains transformation through communities of practice, job aids, standard operating procedures, incentives, and performance expectations [</w:t>
      </w:r>
      <w:hyperlink r:id="rId22">
        <w:r>
          <w:rPr>
            <w:rStyle w:val="Hyperlink"/>
          </w:rPr>
          <w:t xml:space="preserve">1</w:t>
        </w:r>
      </w:hyperlink>
      <w:r>
        <w:t xml:space="preserve">].</w:t>
      </w:r>
    </w:p>
    <w:p>
      <w:pPr>
        <w:pStyle w:val="BodyText"/>
      </w:pPr>
      <w:r>
        <w:rPr>
          <w:b/>
          <w:bCs/>
        </w:rPr>
        <w:t xml:space="preserve">Five-Level AI Fluency Maturity Model.</w:t>
      </w:r>
      <w:r>
        <w:t xml:space="preserve"> </w:t>
      </w:r>
      <w:r>
        <w:t xml:space="preserve">Within this framework, individual capability progresses through five levels: Aware, Fluent, Applied, Builder, and Leader [</w:t>
      </w:r>
      <w:hyperlink r:id="rId22">
        <w:r>
          <w:rPr>
            <w:rStyle w:val="Hyperlink"/>
          </w:rPr>
          <w:t xml:space="preserve">1</w:t>
        </w:r>
      </w:hyperlink>
      <w:r>
        <w:t xml:space="preserve">]. Current enterprise reality reveals a significant concentration at lower maturity levels—more than 85% of employees remain at task assistance and delegation stages, while fewer than 10% have reached semiautonomous collaboration or beyond [</w:t>
      </w:r>
      <w:hyperlink r:id="rId22">
        <w:r>
          <w:rPr>
            <w:rStyle w:val="Hyperlink"/>
          </w:rPr>
          <w:t xml:space="preserve">1</w:t>
        </w:r>
      </w:hyperlink>
      <w:r>
        <w:t xml:space="preserve">]. This distribution underscores the scale of the upskilling challenge and the need for structured progression pathways.</w:t>
      </w:r>
    </w:p>
    <w:p>
      <w:pPr>
        <w:pStyle w:val="CaptionedFigure"/>
      </w:pPr>
      <w:r>
        <w:drawing>
          <wp:inline>
            <wp:extent cx="6756400" cy="4587820"/>
            <wp:effectExtent b="0" l="0" r="0" t="0"/>
            <wp:docPr descr="Five-Level AI Fluency Maturity Model Distribution" title="" id="43" name="Picture"/>
            <a:graphic>
              <a:graphicData uri="http://schemas.openxmlformats.org/drawingml/2006/picture">
                <pic:pic>
                  <pic:nvPicPr>
                    <pic:cNvPr descr="/home/appuser/RESEARCH_EXPORT_WORKDIR/8f516c7f-efc3-4af6-a6fe-0e43c617f406/assets/dfefbd8d-9d34-4eb0-aefd-b07b793e149f.png" id="44" name="Picture"/>
                    <pic:cNvPicPr>
                      <a:picLocks noChangeArrowheads="1" noChangeAspect="1"/>
                    </pic:cNvPicPr>
                  </pic:nvPicPr>
                  <pic:blipFill>
                    <a:blip r:embed="rId42"/>
                    <a:stretch>
                      <a:fillRect/>
                    </a:stretch>
                  </pic:blipFill>
                  <pic:spPr bwMode="auto">
                    <a:xfrm>
                      <a:off x="0" y="0"/>
                      <a:ext cx="6756400" cy="4587820"/>
                    </a:xfrm>
                    <a:prstGeom prst="rect">
                      <a:avLst/>
                    </a:prstGeom>
                    <a:noFill/>
                    <a:ln w="9525">
                      <a:noFill/>
                      <a:headEnd/>
                      <a:tailEnd/>
                    </a:ln>
                  </pic:spPr>
                </pic:pic>
              </a:graphicData>
            </a:graphic>
          </wp:inline>
        </w:drawing>
      </w:r>
    </w:p>
    <w:p>
      <w:pPr>
        <w:pStyle w:val="ImageCaption"/>
      </w:pPr>
      <w:r>
        <w:t xml:space="preserve">Five-Level AI Fluency Maturity Model Distribution</w:t>
      </w:r>
    </w:p>
    <w:p>
      <w:pPr>
        <w:pStyle w:val="BodyText"/>
      </w:pPr>
      <w:r>
        <w:rPr>
          <w:i/>
          <w:iCs/>
        </w:rPr>
        <w:t xml:space="preserve">Chart Explanation</w:t>
      </w:r>
      <w:r>
        <w:t xml:space="preserve">: This chart shows the estimated distribution of enterprise workers across the five AI fluency maturity levels. The vast majority (~87%) remain at Levels 1–3 (task assistance), while fewer than 13% have progressed to semiautonomous collaboration at Levels 4–5 [</w:t>
      </w:r>
      <w:hyperlink r:id="rId22">
        <w:r>
          <w:rPr>
            <w:rStyle w:val="Hyperlink"/>
          </w:rPr>
          <w:t xml:space="preserve">1</w:t>
        </w:r>
      </w:hyperlink>
      <w:r>
        <w:t xml:space="preserve">].</w:t>
      </w:r>
    </w:p>
    <w:p>
      <w:pPr>
        <w:pStyle w:val="BodyText"/>
      </w:pPr>
      <w:r>
        <w:rPr>
          <w:b/>
          <w:bCs/>
        </w:rPr>
        <w:t xml:space="preserve">Training Intensity and Delivery Mode Matter.</w:t>
      </w:r>
      <w:r>
        <w:t xml:space="preserve"> </w:t>
      </w:r>
      <w:r>
        <w:t xml:space="preserve">BCG’s 2025 AI at Work research found that only 36% of employees felt properly trained in AI use, but regular AI usage was markedly higher among employees who received at least five hours of training, especially when that training included in-person support and coaching [</w:t>
      </w:r>
      <w:hyperlink r:id="rId45">
        <w:r>
          <w:rPr>
            <w:rStyle w:val="Hyperlink"/>
          </w:rPr>
          <w:t xml:space="preserve">15</w:t>
        </w:r>
      </w:hyperlink>
      <w:r>
        <w:t xml:space="preserve">]. This finding validates the need for structured, supported learning experiences rather than self-directed content consumption alone.</w:t>
      </w:r>
    </w:p>
    <w:p>
      <w:pPr>
        <w:pStyle w:val="BodyText"/>
      </w:pPr>
      <w:r>
        <w:t xml:space="preserve">The role-based design must also account for audience stratification in responsible AI training: free vendor academies provide baseline AI literacy, enterprise learning platforms deliver hands-on skills with scored completion records for audit compliance, and specialist governance courses serve reviewers who approve AI use cases [</w:t>
      </w:r>
      <w:hyperlink r:id="rId46">
        <w:r>
          <w:rPr>
            <w:rStyle w:val="Hyperlink"/>
          </w:rPr>
          <w:t xml:space="preserve">16</w:t>
        </w:r>
      </w:hyperlink>
      <w:r>
        <w:t xml:space="preserve">].</w:t>
      </w:r>
    </w:p>
    <w:bookmarkEnd w:id="47"/>
    <w:bookmarkStart w:id="59" w:name="X994312ed58459cbe69c7bc3a322990928ebd69e"/>
    <w:p>
      <w:pPr>
        <w:pStyle w:val="Heading2"/>
      </w:pPr>
      <w:r>
        <w:t xml:space="preserve">Implementation: 90-180 Day Proof Points and Pilot-to-Scale Pathways</w:t>
      </w:r>
    </w:p>
    <w:p>
      <w:pPr>
        <w:pStyle w:val="FirstParagraph"/>
      </w:pPr>
      <w:r>
        <w:rPr>
          <w:b/>
          <w:bCs/>
        </w:rPr>
        <w:t xml:space="preserve">Rapid Deployment Methodology.</w:t>
      </w:r>
      <w:r>
        <w:t xml:space="preserve"> </w:t>
      </w:r>
      <w:r>
        <w:t xml:space="preserve">The research identifies a clear three-phase playbook for demonstrating AI skills value within compressed timelines. Month 1 focuses on identifying high-friction tasks and writing simple rules. Month 2 tests tools that have already proven effective elsewhere. Month 3 measures outcomes with real customers, then keeps what works and eliminates what does not [</w:t>
      </w:r>
      <w:hyperlink r:id="rId26">
        <w:r>
          <w:rPr>
            <w:rStyle w:val="Hyperlink"/>
          </w:rPr>
          <w:t xml:space="preserve">5</w:t>
        </w:r>
      </w:hyperlink>
      <w:r>
        <w:t xml:space="preserve">]. This approach is complemented by selecting three to four business missions with measurable 90–180-day proof points, using 6–10 week use-case sprints with weekly quality, risk, and results reviews, and applying 30/60/90-day scale-adjust-stop criteria [</w:t>
      </w:r>
      <w:hyperlink r:id="rId22">
        <w:r>
          <w:rPr>
            <w:rStyle w:val="Hyperlink"/>
          </w:rPr>
          <w:t xml:space="preserve">1</w:t>
        </w:r>
      </w:hyperlink>
      <w:r>
        <w:t xml:space="preserve">].</w:t>
      </w:r>
    </w:p>
    <w:p>
      <w:pPr>
        <w:pStyle w:val="BodyText"/>
      </w:pPr>
      <w:r>
        <w:rPr>
          <w:b/>
          <w:bCs/>
        </w:rPr>
        <w:t xml:space="preserve">Depth Over Breadth.</w:t>
      </w:r>
      <w:r>
        <w:t xml:space="preserve"> </w:t>
      </w:r>
      <w:r>
        <w:t xml:space="preserve">A critical lesson from recent experience is that scattered experimentation destroys value. Harvard Business Review reports that a MIT Media Lab/Project NANDA study found 95% of investments in generative AI have produced zero returns when deployed as unstructured experiments [</w:t>
      </w:r>
      <w:hyperlink r:id="rId24">
        <w:r>
          <w:rPr>
            <w:rStyle w:val="Hyperlink"/>
          </w:rPr>
          <w:t xml:space="preserve">3</w:t>
        </w:r>
      </w:hyperlink>
      <w:r>
        <w:t xml:space="preserve">]. Successful enterprises avoid running many scattered pilots and instead pick one area and go deep, building genuine capability before expanding [</w:t>
      </w:r>
      <w:hyperlink r:id="rId24">
        <w:r>
          <w:rPr>
            <w:rStyle w:val="Hyperlink"/>
          </w:rPr>
          <w:t xml:space="preserve">3</w:t>
        </w:r>
      </w:hyperlink>
      <w:r>
        <w:t xml:space="preserve">].</w:t>
      </w:r>
    </w:p>
    <w:p>
      <w:pPr>
        <w:pStyle w:val="BodyText"/>
      </w:pPr>
      <w:r>
        <w:rPr>
          <w:b/>
          <w:bCs/>
        </w:rPr>
        <w:t xml:space="preserve">Three Horizons of Transformation.</w:t>
      </w:r>
      <w:r>
        <w:t xml:space="preserve"> </w:t>
      </w:r>
      <w:r>
        <w:t xml:space="preserve">McKinsey’s 2026 global survey identifies three horizons for scaling AI impact [</w:t>
      </w:r>
      <w:hyperlink r:id="rId48">
        <w:r>
          <w:rPr>
            <w:rStyle w:val="Hyperlink"/>
          </w:rPr>
          <w:t xml:space="preserve">17</w:t>
        </w:r>
      </w:hyperlink>
      <w:r>
        <w:t xml:space="preserve">]. The first horizon, Enablement, provides individual employees access to general-purpose AI tools. The second, Automation, automates and improves existing cross-functional workflows using AI at scale. The third, Reinvention, creatively reimagines how work gets done by redesigning roles, workflows, and operating models to leverage AI’s full potential [</w:t>
      </w:r>
      <w:hyperlink r:id="rId48">
        <w:r>
          <w:rPr>
            <w:rStyle w:val="Hyperlink"/>
          </w:rPr>
          <w:t xml:space="preserve">17</w:t>
        </w:r>
      </w:hyperlink>
      <w:r>
        <w:t xml:space="preserve">]. Each horizon requires progressively deeper skills and organizational change, reinforcing the need for the tiered learning framework described above.</w:t>
      </w:r>
    </w:p>
    <w:tbl>
      <w:tblPr>
        <w:tblStyle w:val="Table"/>
        <w:tblW w:type="pct" w:w="5000"/>
        <w:tblLayout w:type="fixed"/>
        <w:tblLook w:firstRow="1" w:lastRow="0" w:firstColumn="0" w:lastColumn="0" w:noHBand="0" w:noVBand="0" w:val="0020"/>
      </w:tblPr>
      <w:tblGrid>
        <w:gridCol w:w="1232"/>
        <w:gridCol w:w="1760"/>
        <w:gridCol w:w="1936"/>
        <w:gridCol w:w="2992"/>
      </w:tblGrid>
      <w:tr>
        <w:trPr>
          <w:tblHeader w:val="on"/>
        </w:trPr>
        <w:tc>
          <w:tcPr/>
          <w:p>
            <w:pPr>
              <w:pStyle w:val="Compact"/>
            </w:pPr>
            <w:r>
              <w:t xml:space="preserve">Phase</w:t>
            </w:r>
          </w:p>
        </w:tc>
        <w:tc>
          <w:tcPr/>
          <w:p>
            <w:pPr>
              <w:pStyle w:val="Compact"/>
            </w:pPr>
            <w:r>
              <w:t xml:space="preserve">Timeline</w:t>
            </w:r>
          </w:p>
        </w:tc>
        <w:tc>
          <w:tcPr/>
          <w:p>
            <w:pPr>
              <w:pStyle w:val="Compact"/>
            </w:pPr>
            <w:r>
              <w:t xml:space="preserve">Activities</w:t>
            </w:r>
          </w:p>
        </w:tc>
        <w:tc>
          <w:tcPr/>
          <w:p>
            <w:pPr>
              <w:pStyle w:val="Compact"/>
            </w:pPr>
            <w:r>
              <w:t xml:space="preserve">Success Criteria</w:t>
            </w:r>
          </w:p>
        </w:tc>
      </w:tr>
      <w:tr>
        <w:tc>
          <w:tcPr/>
          <w:p>
            <w:pPr>
              <w:pStyle w:val="Compact"/>
            </w:pPr>
            <w:r>
              <w:t xml:space="preserve">Identify &amp; Baseline</w:t>
            </w:r>
          </w:p>
        </w:tc>
        <w:tc>
          <w:tcPr/>
          <w:p>
            <w:pPr>
              <w:pStyle w:val="Compact"/>
            </w:pPr>
            <w:r>
              <w:t xml:space="preserve">Month 1 (Days 1-30)</w:t>
            </w:r>
          </w:p>
        </w:tc>
        <w:tc>
          <w:tcPr/>
          <w:p>
            <w:pPr>
              <w:pStyle w:val="Compact"/>
            </w:pPr>
            <w:r>
              <w:t xml:space="preserve">Map high-friction tasks, write simple rules, select 3-4 business missions [</w:t>
            </w:r>
            <w:hyperlink r:id="rId22">
              <w:r>
                <w:rPr>
                  <w:rStyle w:val="Hyperlink"/>
                </w:rPr>
                <w:t xml:space="preserve">1</w:t>
              </w:r>
            </w:hyperlink>
            <w:r>
              <w:t xml:space="preserve">,</w:t>
            </w:r>
            <w:r>
              <w:t xml:space="preserve"> </w:t>
            </w:r>
            <w:hyperlink r:id="rId26">
              <w:r>
                <w:rPr>
                  <w:rStyle w:val="Hyperlink"/>
                </w:rPr>
                <w:t xml:space="preserve">5</w:t>
              </w:r>
            </w:hyperlink>
            <w:r>
              <w:t xml:space="preserve">]</w:t>
            </w:r>
          </w:p>
        </w:tc>
        <w:tc>
          <w:tcPr/>
          <w:p>
            <w:pPr>
              <w:pStyle w:val="Compact"/>
            </w:pPr>
            <w:r>
              <w:t xml:space="preserve">Friction points documented, baseline metrics established</w:t>
            </w:r>
          </w:p>
        </w:tc>
      </w:tr>
      <w:tr>
        <w:tc>
          <w:tcPr/>
          <w:p>
            <w:pPr>
              <w:pStyle w:val="Compact"/>
            </w:pPr>
            <w:r>
              <w:t xml:space="preserve">Test &amp; Sprint</w:t>
            </w:r>
          </w:p>
        </w:tc>
        <w:tc>
          <w:tcPr/>
          <w:p>
            <w:pPr>
              <w:pStyle w:val="Compact"/>
            </w:pPr>
            <w:r>
              <w:t xml:space="preserve">Month 2 (Days 31-60)</w:t>
            </w:r>
          </w:p>
        </w:tc>
        <w:tc>
          <w:tcPr/>
          <w:p>
            <w:pPr>
              <w:pStyle w:val="Compact"/>
            </w:pPr>
            <w:r>
              <w:t xml:space="preserve">6-10 week use-case sprints, test proven tools, train focused role groups [</w:t>
            </w:r>
            <w:hyperlink r:id="rId22">
              <w:r>
                <w:rPr>
                  <w:rStyle w:val="Hyperlink"/>
                </w:rPr>
                <w:t xml:space="preserve">1</w:t>
              </w:r>
            </w:hyperlink>
            <w:r>
              <w:t xml:space="preserve">,</w:t>
            </w:r>
            <w:r>
              <w:t xml:space="preserve"> </w:t>
            </w:r>
            <w:hyperlink r:id="rId26">
              <w:r>
                <w:rPr>
                  <w:rStyle w:val="Hyperlink"/>
                </w:rPr>
                <w:t xml:space="preserve">5</w:t>
              </w:r>
            </w:hyperlink>
            <w:r>
              <w:t xml:space="preserve">]</w:t>
            </w:r>
          </w:p>
        </w:tc>
        <w:tc>
          <w:tcPr/>
          <w:p>
            <w:pPr>
              <w:pStyle w:val="Compact"/>
            </w:pPr>
            <w:r>
              <w:t xml:space="preserve">Weekly quality/risk reviews completed, artifacts evaluated</w:t>
            </w:r>
          </w:p>
        </w:tc>
      </w:tr>
      <w:tr>
        <w:tc>
          <w:tcPr/>
          <w:p>
            <w:pPr>
              <w:pStyle w:val="Compact"/>
            </w:pPr>
            <w:r>
              <w:t xml:space="preserve">Measure &amp; Scale</w:t>
            </w:r>
          </w:p>
        </w:tc>
        <w:tc>
          <w:tcPr/>
          <w:p>
            <w:pPr>
              <w:pStyle w:val="Compact"/>
            </w:pPr>
            <w:r>
              <w:t xml:space="preserve">Month 3 (Days 61-90)</w:t>
            </w:r>
          </w:p>
        </w:tc>
        <w:tc>
          <w:tcPr/>
          <w:p>
            <w:pPr>
              <w:pStyle w:val="Compact"/>
            </w:pPr>
            <w:r>
              <w:t xml:space="preserve">Measure outcomes with real customers, apply scale-adjust-stop criteria [</w:t>
            </w:r>
            <w:hyperlink r:id="rId22">
              <w:r>
                <w:rPr>
                  <w:rStyle w:val="Hyperlink"/>
                </w:rPr>
                <w:t xml:space="preserve">1</w:t>
              </w:r>
            </w:hyperlink>
            <w:r>
              <w:t xml:space="preserve">,</w:t>
            </w:r>
            <w:r>
              <w:t xml:space="preserve"> </w:t>
            </w:r>
            <w:hyperlink r:id="rId26">
              <w:r>
                <w:rPr>
                  <w:rStyle w:val="Hyperlink"/>
                </w:rPr>
                <w:t xml:space="preserve">5</w:t>
              </w:r>
            </w:hyperlink>
            <w:r>
              <w:t xml:space="preserve">]</w:t>
            </w:r>
          </w:p>
        </w:tc>
        <w:tc>
          <w:tcPr/>
          <w:p>
            <w:pPr>
              <w:pStyle w:val="Compact"/>
            </w:pPr>
            <w:r>
              <w:t xml:space="preserve">Measurable proof points achieved, good practice codified</w:t>
            </w:r>
          </w:p>
        </w:tc>
      </w:tr>
      <w:tr>
        <w:tc>
          <w:tcPr/>
          <w:p>
            <w:pPr>
              <w:pStyle w:val="Compact"/>
            </w:pPr>
            <w:r>
              <w:t xml:space="preserve">Expand</w:t>
            </w:r>
          </w:p>
        </w:tc>
        <w:tc>
          <w:tcPr/>
          <w:p>
            <w:pPr>
              <w:pStyle w:val="Compact"/>
            </w:pPr>
            <w:r>
              <w:t xml:space="preserve">Days 90-180</w:t>
            </w:r>
          </w:p>
        </w:tc>
        <w:tc>
          <w:tcPr/>
          <w:p>
            <w:pPr>
              <w:pStyle w:val="Compact"/>
            </w:pPr>
            <w:r>
              <w:t xml:space="preserve">Scale successful patterns, expand to additional business missions [</w:t>
            </w:r>
            <w:hyperlink r:id="rId22">
              <w:r>
                <w:rPr>
                  <w:rStyle w:val="Hyperlink"/>
                </w:rPr>
                <w:t xml:space="preserve">1</w:t>
              </w:r>
            </w:hyperlink>
            <w:r>
              <w:t xml:space="preserve">]</w:t>
            </w:r>
          </w:p>
        </w:tc>
        <w:tc>
          <w:tcPr/>
          <w:p>
            <w:pPr>
              <w:pStyle w:val="Compact"/>
            </w:pPr>
            <w:r>
              <w:t xml:space="preserve">90-180 day evidence documented across multiple missions</w:t>
            </w:r>
          </w:p>
        </w:tc>
      </w:tr>
    </w:tbl>
    <w:p>
      <w:pPr>
        <w:pStyle w:val="BodyText"/>
      </w:pPr>
      <w:r>
        <w:rPr>
          <w:i/>
          <w:iCs/>
        </w:rPr>
        <w:t xml:space="preserve">Table: 90-180 Day Implementation Playbook</w:t>
      </w:r>
    </w:p>
    <w:p>
      <w:pPr>
        <w:pStyle w:val="BodyText"/>
      </w:pPr>
      <w:r>
        <w:rPr>
          <w:b/>
          <w:bCs/>
        </w:rPr>
        <w:t xml:space="preserve">How AWS Training and Certification Accelerates This Pathway.</w:t>
      </w:r>
      <w:r>
        <w:t xml:space="preserve"> </w:t>
      </w:r>
      <w:r>
        <w:t xml:space="preserve">AWS provides purpose-built programs that map directly to each phase of the 90-180 day implementation playbook. In the Identify &amp; Baseline phase, the free AWS Learning Needs Analysis helps organizations pinpoint skill gaps preventing them from achieving their objectives, establishing a clear starting point before sprints begin [</w:t>
      </w:r>
      <w:hyperlink r:id="rId49">
        <w:r>
          <w:rPr>
            <w:rStyle w:val="Hyperlink"/>
          </w:rPr>
          <w:t xml:space="preserve">18</w:t>
        </w:r>
      </w:hyperlink>
      <w:r>
        <w:t xml:space="preserve">]. During the Test &amp; Sprint phase, the AWS Skills Guild program—structured around three pillars of Excitement, Enablement, and Advocacy—delivers hands-on collaborative learning tailored to varying expertise levels, enabling teams to immediately apply cloud and AI skills [</w:t>
      </w:r>
      <w:hyperlink r:id="rId50">
        <w:r>
          <w:rPr>
            <w:rStyle w:val="Hyperlink"/>
          </w:rPr>
          <w:t xml:space="preserve">19</w:t>
        </w:r>
      </w:hyperlink>
      <w:r>
        <w:t xml:space="preserve">,</w:t>
      </w:r>
      <w:r>
        <w:t xml:space="preserve"> </w:t>
      </w:r>
      <w:hyperlink r:id="rId51">
        <w:r>
          <w:rPr>
            <w:rStyle w:val="Hyperlink"/>
          </w:rPr>
          <w:t xml:space="preserve">20</w:t>
        </w:r>
      </w:hyperlink>
      <w:r>
        <w:t xml:space="preserve">]. AWS Skill Builder Team subscriptions ($449/seat/year) provide access to over 330 AI learning resources with hands-on labs in real AWS environments, supporting rapid skill deployment during focused sprints [</w:t>
      </w:r>
      <w:hyperlink r:id="rId52">
        <w:r>
          <w:rPr>
            <w:rStyle w:val="Hyperlink"/>
          </w:rPr>
          <w:t xml:space="preserve">21</w:t>
        </w:r>
      </w:hyperlink>
      <w:r>
        <w:t xml:space="preserve">,</w:t>
      </w:r>
      <w:r>
        <w:t xml:space="preserve"> </w:t>
      </w:r>
      <w:hyperlink r:id="rId53">
        <w:r>
          <w:rPr>
            <w:rStyle w:val="Hyperlink"/>
          </w:rPr>
          <w:t xml:space="preserve">22</w:t>
        </w:r>
      </w:hyperlink>
      <w:r>
        <w:t xml:space="preserve">].</w:t>
      </w:r>
    </w:p>
    <w:p>
      <w:pPr>
        <w:pStyle w:val="BodyText"/>
      </w:pPr>
      <w:r>
        <w:t xml:space="preserve">For the Measure &amp; Scale phase, AWS’s Five V’s Framework (Value, Visualize, Validate, Verify, Venture) offers a field-tested methodology that has moved 65% of Generative AI Innovation Center customer projects from concept to production, with some launching in as few as 45 days [</w:t>
      </w:r>
      <w:hyperlink r:id="rId54">
        <w:r>
          <w:rPr>
            <w:rStyle w:val="Hyperlink"/>
          </w:rPr>
          <w:t xml:space="preserve">23</w:t>
        </w:r>
      </w:hyperlink>
      <w:r>
        <w:t xml:space="preserve">]. Enterprise case studies validate this accelerated timeline: Holcim achieved an 85% participation rate and 90% reduction in manual invoice processing through the AWS Skills Guild [</w:t>
      </w:r>
      <w:hyperlink r:id="rId51">
        <w:r>
          <w:rPr>
            <w:rStyle w:val="Hyperlink"/>
          </w:rPr>
          <w:t xml:space="preserve">20</w:t>
        </w:r>
      </w:hyperlink>
      <w:r>
        <w:t xml:space="preserve">], while Globe achieved a 25% year-over-year increase in AWS Certifications [</w:t>
      </w:r>
      <w:hyperlink r:id="rId55">
        <w:r>
          <w:rPr>
            <w:rStyle w:val="Hyperlink"/>
          </w:rPr>
          <w:t xml:space="preserve">24</w:t>
        </w:r>
      </w:hyperlink>
      <w:r>
        <w:t xml:space="preserve">] and Pearson equipped nearly 2,000 employees across three continents [</w:t>
      </w:r>
      <w:hyperlink r:id="rId56">
        <w:r>
          <w:rPr>
            <w:rStyle w:val="Hyperlink"/>
          </w:rPr>
          <w:t xml:space="preserve">25</w:t>
        </w:r>
      </w:hyperlink>
      <w:r>
        <w:t xml:space="preserve">]. A Forrester Total Economic Impact study found that very large enterprises realized a 234% ROI from AWS Training and Certification services, while an ESG study of 1,000 learners found 84% reported improved on-the-job efficiency [</w:t>
      </w:r>
      <w:hyperlink r:id="rId57">
        <w:r>
          <w:rPr>
            <w:rStyle w:val="Hyperlink"/>
          </w:rPr>
          <w:t xml:space="preserve">26</w:t>
        </w:r>
      </w:hyperlink>
      <w:r>
        <w:t xml:space="preserve">,</w:t>
      </w:r>
      <w:r>
        <w:t xml:space="preserve"> </w:t>
      </w:r>
      <w:hyperlink r:id="rId58">
        <w:r>
          <w:rPr>
            <w:rStyle w:val="Hyperlink"/>
          </w:rPr>
          <w:t xml:space="preserve">27</w:t>
        </w:r>
      </w:hyperlink>
      <w:r>
        <w:t xml:space="preserve">].</w:t>
      </w:r>
    </w:p>
    <w:bookmarkEnd w:id="59"/>
    <w:bookmarkStart w:id="64" w:name="X71ae92c3a49601edec75181be4fc00ef53e3c44"/>
    <w:p>
      <w:pPr>
        <w:pStyle w:val="Heading2"/>
      </w:pPr>
      <w:r>
        <w:t xml:space="preserve">Certification Programs and Learning Delivery Best Practices</w:t>
      </w:r>
    </w:p>
    <w:p>
      <w:pPr>
        <w:pStyle w:val="FirstParagraph"/>
      </w:pPr>
      <w:r>
        <w:rPr>
          <w:b/>
          <w:bCs/>
        </w:rPr>
        <w:t xml:space="preserve">The Maturity-ROI Connection.</w:t>
      </w:r>
      <w:r>
        <w:t xml:space="preserve"> </w:t>
      </w:r>
      <w:r>
        <w:t xml:space="preserve">In 2026, 82% of enterprise leaders say their organization provides some form of AI training, yet only 35% have a mature, organization-wide AI upskilling program [</w:t>
      </w:r>
      <w:hyperlink r:id="rId27">
        <w:r>
          <w:rPr>
            <w:rStyle w:val="Hyperlink"/>
          </w:rPr>
          <w:t xml:space="preserve">6</w:t>
        </w:r>
      </w:hyperlink>
      <w:r>
        <w:t xml:space="preserve">]. The gap matters enormously: organizations with mature workforce-wide upskilling programs are nearly twice as likely to report significant positive AI ROI [</w:t>
      </w:r>
      <w:hyperlink r:id="rId27">
        <w:r>
          <w:rPr>
            <w:rStyle w:val="Hyperlink"/>
          </w:rPr>
          <w:t xml:space="preserve">6</w:t>
        </w:r>
      </w:hyperlink>
      <w:r>
        <w:t xml:space="preserve">]. Time constraints (35%) and lack of budget (31%) remain the top barriers to improving AI skills, with 26% of leaders citing difficulty reporting on the ROI of training programs as a key challenge [</w:t>
      </w:r>
      <w:hyperlink r:id="rId27">
        <w:r>
          <w:rPr>
            <w:rStyle w:val="Hyperlink"/>
          </w:rPr>
          <w:t xml:space="preserve">6</w:t>
        </w:r>
      </w:hyperlink>
      <w:r>
        <w:t xml:space="preserve">].</w:t>
      </w:r>
    </w:p>
    <w:p>
      <w:pPr>
        <w:pStyle w:val="BodyText"/>
      </w:pPr>
      <w:r>
        <w:rPr>
          <w:b/>
          <w:bCs/>
        </w:rPr>
        <w:t xml:space="preserve">Workflow-Embedded Adaptive Learning.</w:t>
      </w:r>
      <w:r>
        <w:t xml:space="preserve"> </w:t>
      </w:r>
      <w:r>
        <w:t xml:space="preserve">The most effective programs move beyond traditional course-based delivery to embed learning in the flow of work. ROI begins when learning changes behavior inside a meaningful workflow, with effective programs tailoring depth to specific jobs, embedding practice in the flow of work, and evolving paths as tools change [</w:t>
      </w:r>
      <w:hyperlink r:id="rId45">
        <w:r>
          <w:rPr>
            <w:rStyle w:val="Hyperlink"/>
          </w:rPr>
          <w:t xml:space="preserve">15</w:t>
        </w:r>
      </w:hyperlink>
      <w:r>
        <w:t xml:space="preserve">]. This approach measures impact across four categories: productivity (cycle time, throughput, time saved), quality (fewer errors, better decisions), labor leverage (more value from existing teams), and strategic speed (time from experimentation to scaled execution) [</w:t>
      </w:r>
      <w:hyperlink r:id="rId45">
        <w:r>
          <w:rPr>
            <w:rStyle w:val="Hyperlink"/>
          </w:rPr>
          <w:t xml:space="preserve">15</w:t>
        </w:r>
      </w:hyperlink>
      <w:r>
        <w:t xml:space="preserve">]. Notably, McKinsey found that fewer than one in five organizations track well-defined KPIs for generative AI solutions [</w:t>
      </w:r>
      <w:hyperlink r:id="rId45">
        <w:r>
          <w:rPr>
            <w:rStyle w:val="Hyperlink"/>
          </w:rPr>
          <w:t xml:space="preserve">15</w:t>
        </w:r>
      </w:hyperlink>
      <w:r>
        <w:t xml:space="preserve">].</w:t>
      </w:r>
    </w:p>
    <w:p>
      <w:pPr>
        <w:pStyle w:val="BodyText"/>
      </w:pPr>
      <w:r>
        <w:rPr>
          <w:b/>
          <w:bCs/>
        </w:rPr>
        <w:t xml:space="preserve">AI-Native Learning Platforms.</w:t>
      </w:r>
      <w:r>
        <w:t xml:space="preserve"> </w:t>
      </w:r>
      <w:r>
        <w:t xml:space="preserve">The enterprise learning technology market is rapidly transforming around AI-native platforms. According to Josh Bersin, the big use cases for AI in corporate training include dynamic content generation, AI-powered coaches and scenarios, AI-fueled needs analysis, AI-generated skills models, AI-powered skills assessments, and conversational learning interfaces, with leading vendors including Sana, Docebo, Cornerstone Galaxy, Arist, Uplimit, and 360Learning [</w:t>
      </w:r>
      <w:hyperlink r:id="rId60">
        <w:r>
          <w:rPr>
            <w:rStyle w:val="Hyperlink"/>
          </w:rPr>
          <w:t xml:space="preserve">28</w:t>
        </w:r>
      </w:hyperlink>
      <w:r>
        <w:t xml:space="preserve">].</w:t>
      </w:r>
    </w:p>
    <w:p>
      <w:pPr>
        <w:pStyle w:val="BodyText"/>
      </w:pPr>
      <w:r>
        <w:rPr>
          <w:b/>
          <w:bCs/>
        </w:rPr>
        <w:t xml:space="preserve">Enterprise Case Studies.</w:t>
      </w:r>
      <w:r>
        <w:t xml:space="preserve"> </w:t>
      </w:r>
      <w:r>
        <w:t xml:space="preserve">Leading organizations demonstrate what mature programs can achieve. Visa’s AI-embedded practice approach led to a 78% increase in seller confidence, while 83% of leaders saw value in sellers using the program [</w:t>
      </w:r>
      <w:hyperlink r:id="rId45">
        <w:r>
          <w:rPr>
            <w:rStyle w:val="Hyperlink"/>
          </w:rPr>
          <w:t xml:space="preserve">15</w:t>
        </w:r>
      </w:hyperlink>
      <w:r>
        <w:t xml:space="preserve">]. New York Life upskilled 12,000 employees in AI, now fills 33% of roles internally, and has logged more than 15,000 hours of AI learning [</w:t>
      </w:r>
      <w:hyperlink r:id="rId45">
        <w:r>
          <w:rPr>
            <w:rStyle w:val="Hyperlink"/>
          </w:rPr>
          <w:t xml:space="preserve">15</w:t>
        </w:r>
      </w:hyperlink>
      <w:r>
        <w:t xml:space="preserve">]. These results validate the workflow-embedded, role-specific approach over generic training deployments.</w:t>
      </w:r>
    </w:p>
    <w:p>
      <w:pPr>
        <w:pStyle w:val="BodyText"/>
      </w:pPr>
      <w:r>
        <w:rPr>
          <w:b/>
          <w:bCs/>
        </w:rPr>
        <w:t xml:space="preserve">Connection to Strategic Roadmap.</w:t>
      </w:r>
      <w:r>
        <w:t xml:space="preserve"> </w:t>
      </w:r>
      <w:r>
        <w:t xml:space="preserve">The certification and learning delivery practices outlined above directly enable the strategic recommendations in this report’s roadmap. The maturity-ROI connection—where organizations with mature upskilling programs are nearly twice as likely to report significant positive AI ROI [</w:t>
      </w:r>
      <w:hyperlink r:id="rId27">
        <w:r>
          <w:rPr>
            <w:rStyle w:val="Hyperlink"/>
          </w:rPr>
          <w:t xml:space="preserve">6</w:t>
        </w:r>
      </w:hyperlink>
      <w:r>
        <w:t xml:space="preserve">]—validates the recommendation to deploy role-based tiered learning with 90-day milestones. AWS Training and Certification provides the infrastructure to operationalize this connection: the tiered certification architecture progresses from AWS Certified AI Practitioner at the foundational level, through ML Engineer Associate at the applied level, to Generative AI Developer Professional for advanced practitioners [</w:t>
      </w:r>
      <w:hyperlink r:id="rId61">
        <w:r>
          <w:rPr>
            <w:rStyle w:val="Hyperlink"/>
          </w:rPr>
          <w:t xml:space="preserve">29</w:t>
        </w:r>
      </w:hyperlink>
      <w:r>
        <w:t xml:space="preserve">,</w:t>
      </w:r>
      <w:r>
        <w:t xml:space="preserve"> </w:t>
      </w:r>
      <w:hyperlink r:id="rId62">
        <w:r>
          <w:rPr>
            <w:rStyle w:val="Hyperlink"/>
          </w:rPr>
          <w:t xml:space="preserve">30</w:t>
        </w:r>
      </w:hyperlink>
      <w:r>
        <w:t xml:space="preserve">,</w:t>
      </w:r>
      <w:r>
        <w:t xml:space="preserve"> </w:t>
      </w:r>
      <w:hyperlink r:id="rId63">
        <w:r>
          <w:rPr>
            <w:rStyle w:val="Hyperlink"/>
          </w:rPr>
          <w:t xml:space="preserve">31</w:t>
        </w:r>
      </w:hyperlink>
      <w:r>
        <w:t xml:space="preserve">]. This progression maps directly to the Foundational → Applied → Embedded curriculum architecture recommended in the roadmap [</w:t>
      </w:r>
      <w:hyperlink r:id="rId22">
        <w:r>
          <w:rPr>
            <w:rStyle w:val="Hyperlink"/>
          </w:rPr>
          <w:t xml:space="preserve">1</w:t>
        </w:r>
      </w:hyperlink>
      <w:r>
        <w:t xml:space="preserve">]. The workflow-embedded measurement approach—tracking productivity, quality, labor leverage, and strategic speed [</w:t>
      </w:r>
      <w:hyperlink r:id="rId45">
        <w:r>
          <w:rPr>
            <w:rStyle w:val="Hyperlink"/>
          </w:rPr>
          <w:t xml:space="preserve">15</w:t>
        </w:r>
      </w:hyperlink>
      <w:r>
        <w:t xml:space="preserve">]—connects to the roadmap’s emphasis on measuring behavior change rather than course completion. AWS Skill Builder’s admin dashboards provide completion tracking, assessment scores, and team-level analytics [</w:t>
      </w:r>
      <w:hyperlink r:id="rId22">
        <w:r>
          <w:rPr>
            <w:rStyle w:val="Hyperlink"/>
          </w:rPr>
          <w:t xml:space="preserve">1</w:t>
        </w:r>
      </w:hyperlink>
      <w:r>
        <w:t xml:space="preserve">], which organizations should integrate with operational metrics to achieve the full four-layer measurement model recommended in the strategic roadmap.</w:t>
      </w:r>
    </w:p>
    <w:bookmarkEnd w:id="64"/>
    <w:bookmarkStart w:id="70" w:name="responsible-ai-governance-and-guardrails"/>
    <w:p>
      <w:pPr>
        <w:pStyle w:val="Heading2"/>
      </w:pPr>
      <w:r>
        <w:t xml:space="preserve">Responsible AI Governance and Guardrails</w:t>
      </w:r>
    </w:p>
    <w:p>
      <w:pPr>
        <w:pStyle w:val="FirstParagraph"/>
      </w:pPr>
      <w:r>
        <w:rPr>
          <w:b/>
          <w:bCs/>
        </w:rPr>
        <w:t xml:space="preserve">AWS Eight-Dimension Framework.</w:t>
      </w:r>
      <w:r>
        <w:t xml:space="preserve"> </w:t>
      </w:r>
      <w:r>
        <w:t xml:space="preserve">AWS defines eight core dimensions of responsible AI that form the foundation for enterprise governance training: fairness, explainability, privacy and security, safety, controllability, veracity and robustness, governance, and transparency [</w:t>
      </w:r>
      <w:hyperlink r:id="rId65">
        <w:r>
          <w:rPr>
            <w:rStyle w:val="Hyperlink"/>
          </w:rPr>
          <w:t xml:space="preserve">32</w:t>
        </w:r>
      </w:hyperlink>
      <w:r>
        <w:t xml:space="preserve">]. These dimensions provide a comprehensive structure for embedding ethical considerations into every stage of AI development and deployment, from pretraining through production use.</w:t>
      </w:r>
    </w:p>
    <w:p>
      <w:pPr>
        <w:pStyle w:val="BodyText"/>
      </w:pPr>
      <w:r>
        <w:rPr>
          <w:b/>
          <w:bCs/>
        </w:rPr>
        <w:t xml:space="preserve">Regulatory Acceleration.</w:t>
      </w:r>
      <w:r>
        <w:t xml:space="preserve"> </w:t>
      </w:r>
      <w:r>
        <w:t xml:space="preserve">The EU AI Act’s phased enforcement is making governance training a board-level priority. Bans on prohibited practices took effect in February 2025, obligations for general-purpose AI models in August 2025, and most remaining obligations—including transparency duties and rules for high-risk systems—apply from August 2026 [</w:t>
      </w:r>
      <w:hyperlink r:id="rId28">
        <w:r>
          <w:rPr>
            <w:rStyle w:val="Hyperlink"/>
          </w:rPr>
          <w:t xml:space="preserve">7</w:t>
        </w:r>
      </w:hyperlink>
      <w:r>
        <w:t xml:space="preserve">]. This regulatory timeline creates urgent demand for governance-capable workforces across all organizations operating in or serving European markets.</w:t>
      </w:r>
    </w:p>
    <w:p>
      <w:pPr>
        <w:pStyle w:val="BodyText"/>
      </w:pPr>
      <w:r>
        <w:rPr>
          <w:b/>
          <w:bCs/>
        </w:rPr>
        <w:t xml:space="preserve">Embedding Governance into Workflows.</w:t>
      </w:r>
      <w:r>
        <w:t xml:space="preserve"> </w:t>
      </w:r>
      <w:r>
        <w:t xml:space="preserve">The research is clear that privacy, security, bias, oversight, transparency, and inclusion must be embedded into workflows rather than added as separate compliance layers [</w:t>
      </w:r>
      <w:hyperlink r:id="rId22">
        <w:r>
          <w:rPr>
            <w:rStyle w:val="Hyperlink"/>
          </w:rPr>
          <w:t xml:space="preserve">1</w:t>
        </w:r>
      </w:hyperlink>
      <w:r>
        <w:t xml:space="preserve">]. Effective implementation requires mapping AI-assisted, automated, and human-owned tasks; establishing data and governance boundaries; and implementing review thresholds, auditability, escalation protocols, and prohibited-use boundaries [</w:t>
      </w:r>
      <w:hyperlink r:id="rId22">
        <w:r>
          <w:rPr>
            <w:rStyle w:val="Hyperlink"/>
          </w:rPr>
          <w:t xml:space="preserve">1</w:t>
        </w:r>
      </w:hyperlink>
      <w:r>
        <w:t xml:space="preserve">]. Amazon’s responsible AI pipeline demonstrates enterprise-scale capability building, supported by over 70 internal and external RAI tools, more than 500 research papers, and tens of thousands of hours of employee training [</w:t>
      </w:r>
      <w:hyperlink r:id="rId66">
        <w:r>
          <w:rPr>
            <w:rStyle w:val="Hyperlink"/>
          </w:rPr>
          <w:t xml:space="preserve">33</w:t>
        </w:r>
      </w:hyperlink>
      <w:r>
        <w:t xml:space="preserve">].</w:t>
      </w:r>
    </w:p>
    <w:p>
      <w:pPr>
        <w:pStyle w:val="BodyText"/>
      </w:pPr>
      <w:r>
        <w:rPr>
          <w:b/>
          <w:bCs/>
        </w:rPr>
        <w:t xml:space="preserve">Three-Tier Governance Training.</w:t>
      </w:r>
      <w:r>
        <w:t xml:space="preserve"> </w:t>
      </w:r>
      <w:r>
        <w:t xml:space="preserve">Organizations are addressing AI ethics skills gaps through stratified training: free vendor academies for baseline AI literacy, enterprise learning platforms for hands-on skills with scored completion records for audit compliance, and specialist governance courses for the people who review and approve AI use cases [</w:t>
      </w:r>
      <w:hyperlink r:id="rId46">
        <w:r>
          <w:rPr>
            <w:rStyle w:val="Hyperlink"/>
          </w:rPr>
          <w:t xml:space="preserve">16</w:t>
        </w:r>
      </w:hyperlink>
      <w:r>
        <w:t xml:space="preserve">]. This tiered approach ensures that governance knowledge is proportionate to decision-making authority and risk exposure.</w:t>
      </w:r>
    </w:p>
    <w:p>
      <w:pPr>
        <w:pStyle w:val="BodyText"/>
      </w:pPr>
      <w:r>
        <w:rPr>
          <w:b/>
          <w:bCs/>
        </w:rPr>
        <w:t xml:space="preserve">Connection to Actionable Next Steps.</w:t>
      </w:r>
      <w:r>
        <w:t xml:space="preserve"> </w:t>
      </w:r>
      <w:r>
        <w:t xml:space="preserve">The responsible AI governance framework described above feeds directly into the strategic roadmap’s recommendation to</w:t>
      </w:r>
      <w:r>
        <w:t xml:space="preserve"> </w:t>
      </w:r>
      <w:r>
        <w:t xml:space="preserve">“Build Responsible AI Governance into Learning Design from Day One.”</w:t>
      </w:r>
      <w:r>
        <w:t xml:space="preserve"> </w:t>
      </w:r>
      <w:r>
        <w:t xml:space="preserve">The eight dimensions of responsible AI [</w:t>
      </w:r>
      <w:hyperlink r:id="rId65">
        <w:r>
          <w:rPr>
            <w:rStyle w:val="Hyperlink"/>
          </w:rPr>
          <w:t xml:space="preserve">32</w:t>
        </w:r>
      </w:hyperlink>
      <w:r>
        <w:t xml:space="preserve">] provide the content architecture, while the EU AI Act enforcement timeline [</w:t>
      </w:r>
      <w:hyperlink r:id="rId28">
        <w:r>
          <w:rPr>
            <w:rStyle w:val="Hyperlink"/>
          </w:rPr>
          <w:t xml:space="preserve">7</w:t>
        </w:r>
      </w:hyperlink>
      <w:r>
        <w:t xml:space="preserve">] establishes the urgency and sequencing for implementation milestones. AWS supports this connection through specific training and compliance resources: the AWS Certified AI Practitioner validates foundational understanding of responsible AI principles [</w:t>
      </w:r>
      <w:hyperlink r:id="rId61">
        <w:r>
          <w:rPr>
            <w:rStyle w:val="Hyperlink"/>
          </w:rPr>
          <w:t xml:space="preserve">29</w:t>
        </w:r>
      </w:hyperlink>
      <w:r>
        <w:t xml:space="preserve">], the AWS Well-Architected Responsible AI Lens provides a comprehensive framework for implementing responsible practices throughout the AI development lifecycle [</w:t>
      </w:r>
      <w:hyperlink r:id="rId67">
        <w:r>
          <w:rPr>
            <w:rStyle w:val="Hyperlink"/>
          </w:rPr>
          <w:t xml:space="preserve">34</w:t>
        </w:r>
      </w:hyperlink>
      <w:r>
        <w:t xml:space="preserve">], and the updated AWS User Guide to Governance, Risk, and Compliance for Responsible AI Adoption (May 2026) offers practical guidance across governance, risk management, and compliance dimensions [</w:t>
      </w:r>
      <w:hyperlink r:id="rId68">
        <w:r>
          <w:rPr>
            <w:rStyle w:val="Hyperlink"/>
          </w:rPr>
          <w:t xml:space="preserve">35</w:t>
        </w:r>
      </w:hyperlink>
      <w:r>
        <w:t xml:space="preserve">]. For organizations operating in European markets, AWS was among the first signatories of the EU AI Pact and provides AI Service Cards and guardrails to help customers meet obligations under the phased enforcement timeline [</w:t>
      </w:r>
      <w:hyperlink r:id="rId69">
        <w:r>
          <w:rPr>
            <w:rStyle w:val="Hyperlink"/>
          </w:rPr>
          <w:t xml:space="preserve">36</w:t>
        </w:r>
      </w:hyperlink>
      <w:r>
        <w:t xml:space="preserve">]. The Generative AI Learning Plan for EU Governments has already empowered more than 5,500 professionals with essential AI skills [</w:t>
      </w:r>
      <w:hyperlink r:id="rId68">
        <w:r>
          <w:rPr>
            <w:rStyle w:val="Hyperlink"/>
          </w:rPr>
          <w:t xml:space="preserve">35</w:t>
        </w:r>
      </w:hyperlink>
      <w:r>
        <w:t xml:space="preserve">], demonstrating how governance-aligned training can be deployed at scale. These AWS resources enable organizations to move from the governance principles outlined in this section to the concrete implementation actions specified in the roadmap—embedding compliance into sprint-based learning rather than treating it as a separate workstream.</w:t>
      </w:r>
    </w:p>
    <w:bookmarkEnd w:id="70"/>
    <w:bookmarkStart w:id="76" w:name="X8cee504612c07a6f53c11f0a7519ffb564d0cc7"/>
    <w:p>
      <w:pPr>
        <w:pStyle w:val="Heading2"/>
      </w:pPr>
      <w:r>
        <w:t xml:space="preserve">Change Management and Leadership Alignment</w:t>
      </w:r>
    </w:p>
    <w:p>
      <w:pPr>
        <w:pStyle w:val="FirstParagraph"/>
      </w:pPr>
      <w:r>
        <w:rPr>
          <w:b/>
          <w:bCs/>
        </w:rPr>
        <w:t xml:space="preserve">Leadership as the Primary Barrier.</w:t>
      </w:r>
      <w:r>
        <w:t xml:space="preserve"> </w:t>
      </w:r>
      <w:r>
        <w:t xml:space="preserve">The most significant finding from recent research is that the biggest barrier to scaling AI is not employees—who are ready—but leaders who are not steering fast enough [</w:t>
      </w:r>
      <w:hyperlink r:id="rId37">
        <w:r>
          <w:rPr>
            <w:rStyle w:val="Hyperlink"/>
          </w:rPr>
          <w:t xml:space="preserve">14</w:t>
        </w:r>
      </w:hyperlink>
      <w:r>
        <w:t xml:space="preserve">]. Workforce readiness is emerging as the key barrier to scaling AI, as demand for process, data, security, and change management skills is outpacing talent development [</w:t>
      </w:r>
      <w:hyperlink r:id="rId71">
        <w:r>
          <w:rPr>
            <w:rStyle w:val="Hyperlink"/>
          </w:rPr>
          <w:t xml:space="preserve">37</w:t>
        </w:r>
      </w:hyperlink>
      <w:r>
        <w:t xml:space="preserve">]. This leadership gap manifests in concrete behavioral differences: 88% of managers role-modeled AI use in mature organizations versus only 25% at laggards [</w:t>
      </w:r>
      <w:hyperlink r:id="rId22">
        <w:r>
          <w:rPr>
            <w:rStyle w:val="Hyperlink"/>
          </w:rPr>
          <w:t xml:space="preserve">1</w:t>
        </w:r>
      </w:hyperlink>
      <w:r>
        <w:t xml:space="preserve">].</w:t>
      </w:r>
    </w:p>
    <w:p>
      <w:pPr>
        <w:pStyle w:val="BodyText"/>
      </w:pPr>
      <w:r>
        <w:rPr>
          <w:b/>
          <w:bCs/>
        </w:rPr>
        <w:t xml:space="preserve">The Manager Capability Gap.</w:t>
      </w:r>
      <w:r>
        <w:t xml:space="preserve"> </w:t>
      </w:r>
      <w:r>
        <w:t xml:space="preserve">Managers translate organizational intent into team norms and daily practice, making their engagement critical to transformation success. Yet the current state reveals a troubling disconnect: 42% of regular frontline AI users reported saving the equivalent of one workday weekly, but 66% had limited or no guidance on reinvesting that time [</w:t>
      </w:r>
      <w:hyperlink r:id="rId22">
        <w:r>
          <w:rPr>
            <w:rStyle w:val="Hyperlink"/>
          </w:rPr>
          <w:t xml:space="preserve">1</w:t>
        </w:r>
      </w:hyperlink>
      <w:r>
        <w:t xml:space="preserve">]. Without managerial direction on how to redirect productivity gains toward higher-value work, organizations forfeit much of the potential benefit from AI adoption.</w:t>
      </w:r>
    </w:p>
    <w:p>
      <w:pPr>
        <w:pStyle w:val="BodyText"/>
      </w:pPr>
      <w:r>
        <w:rPr>
          <w:b/>
          <w:bCs/>
        </w:rPr>
        <w:t xml:space="preserve">Upskilling as Three-Dimensional Change Management.</w:t>
      </w:r>
      <w:r>
        <w:t xml:space="preserve"> </w:t>
      </w:r>
      <w:r>
        <w:t xml:space="preserve">McKinsey recommends treating AI upskilling as a change management effort across three dimensions: AI literacy (shared baseline fluency), AI adoption (embedding tools into workflows by redesigning roles and incentives), and AI domain transformation (domain-specific use cases for competitive advantage) [</w:t>
      </w:r>
      <w:hyperlink r:id="rId72">
        <w:r>
          <w:rPr>
            <w:rStyle w:val="Hyperlink"/>
          </w:rPr>
          <w:t xml:space="preserve">38</w:t>
        </w:r>
      </w:hyperlink>
      <w:r>
        <w:t xml:space="preserve">]. Most companies spend disproportionately on literacy because it is visible and easy to measure, while fewer invest in adoption, which is messier and requires leadership courage [</w:t>
      </w:r>
      <w:hyperlink r:id="rId72">
        <w:r>
          <w:rPr>
            <w:rStyle w:val="Hyperlink"/>
          </w:rPr>
          <w:t xml:space="preserve">38</w:t>
        </w:r>
      </w:hyperlink>
      <w:r>
        <w:t xml:space="preserve">]. This imbalance explains why broad training investments often fail to produce measurable business outcomes.</w:t>
      </w:r>
    </w:p>
    <w:p>
      <w:pPr>
        <w:pStyle w:val="BodyText"/>
      </w:pPr>
      <w:r>
        <w:rPr>
          <w:b/>
          <w:bCs/>
        </w:rPr>
        <w:t xml:space="preserve">Productivity Gains Require Organizational Redesign.</w:t>
      </w:r>
      <w:r>
        <w:t xml:space="preserve"> </w:t>
      </w:r>
      <w:r>
        <w:t xml:space="preserve">Carefully controlled studies show measurable productivity gains for workers assisted by AI: software developers produced around 26% more completed tasks, call-centre agents resolved 14% more customer issues per hour, and mid-level professionals spent around 40% less time on routine writing and analysis [</w:t>
      </w:r>
      <w:hyperlink r:id="rId73">
        <w:r>
          <w:rPr>
            <w:rStyle w:val="Hyperlink"/>
          </w:rPr>
          <w:t xml:space="preserve">39</w:t>
        </w:r>
      </w:hyperlink>
      <w:r>
        <w:t xml:space="preserve">]. However, translating individual productivity into organizational value requires deliberate redesign of workflows, roles, and performance expectations—the domain transformation dimension that most organizations underinvest in.</w:t>
      </w:r>
    </w:p>
    <w:p>
      <w:pPr>
        <w:pStyle w:val="BodyText"/>
      </w:pPr>
      <w:r>
        <w:rPr>
          <w:b/>
          <w:bCs/>
        </w:rPr>
        <w:t xml:space="preserve">Connection to Next Steps and Recommendations.</w:t>
      </w:r>
      <w:r>
        <w:t xml:space="preserve"> </w:t>
      </w:r>
      <w:r>
        <w:t xml:space="preserve">The leadership and change management challenges identified above directly inform two critical recommendations in the strategic roadmap:</w:t>
      </w:r>
      <w:r>
        <w:t xml:space="preserve"> </w:t>
      </w:r>
      <w:r>
        <w:t xml:space="preserve">“Activate Middle Management as Transformation Catalysts”</w:t>
      </w:r>
      <w:r>
        <w:t xml:space="preserve"> </w:t>
      </w:r>
      <w:r>
        <w:t xml:space="preserve">and</w:t>
      </w:r>
      <w:r>
        <w:t xml:space="preserve"> </w:t>
      </w:r>
      <w:r>
        <w:t xml:space="preserve">“Treat Transformation as a Multi-Year Journey Across Three Horizons.”</w:t>
      </w:r>
      <w:r>
        <w:t xml:space="preserve"> </w:t>
      </w:r>
      <w:r>
        <w:t xml:space="preserve">The 88% vs. 25% role-modeling differential [</w:t>
      </w:r>
      <w:hyperlink r:id="rId22">
        <w:r>
          <w:rPr>
            <w:rStyle w:val="Hyperlink"/>
          </w:rPr>
          <w:t xml:space="preserve">1</w:t>
        </w:r>
      </w:hyperlink>
      <w:r>
        <w:t xml:space="preserve">] establishes the evidence base for prioritizing manager activation, while the three-dimensional change management framework (literacy, adoption, domain transformation) [</w:t>
      </w:r>
      <w:hyperlink r:id="rId72">
        <w:r>
          <w:rPr>
            <w:rStyle w:val="Hyperlink"/>
          </w:rPr>
          <w:t xml:space="preserve">38</w:t>
        </w:r>
      </w:hyperlink>
      <w:r>
        <w:t xml:space="preserve">] provides the structure for sequencing investments across the roadmap’s phases. AWS Training and Certification addresses the leadership gap through targeted offerings:</w:t>
      </w:r>
      <w:r>
        <w:t xml:space="preserve"> </w:t>
      </w:r>
      <w:r>
        <w:t xml:space="preserve">“Generative AI for Decision Makers”</w:t>
      </w:r>
      <w:r>
        <w:t xml:space="preserve"> </w:t>
      </w:r>
      <w:r>
        <w:t xml:space="preserve">and</w:t>
      </w:r>
      <w:r>
        <w:t xml:space="preserve"> </w:t>
      </w:r>
      <w:r>
        <w:t xml:space="preserve">“Planning a Generative AI Project”</w:t>
      </w:r>
      <w:r>
        <w:t xml:space="preserve"> </w:t>
      </w:r>
      <w:r>
        <w:t xml:space="preserve">courses equip leaders with strategic AI understanding without requiring deep technical skills [</w:t>
      </w:r>
      <w:hyperlink r:id="rId22">
        <w:r>
          <w:rPr>
            <w:rStyle w:val="Hyperlink"/>
          </w:rPr>
          <w:t xml:space="preserve">1</w:t>
        </w:r>
      </w:hyperlink>
      <w:r>
        <w:t xml:space="preserve">]. For the broader organizational change dimension, the AWS Organizational Change Acceleration (OCA) 6-Point Framework implements an end-to-end process focusing on organizational culture, operating model, workforce, and change leadership [</w:t>
      </w:r>
      <w:hyperlink r:id="rId74">
        <w:r>
          <w:rPr>
            <w:rStyle w:val="Hyperlink"/>
          </w:rPr>
          <w:t xml:space="preserve">40</w:t>
        </w:r>
      </w:hyperlink>
      <w:r>
        <w:t xml:space="preserve">]—directly supporting the roadmap’s call for deliberate workflow redesign. Organizations that lack internal capacity for middle-management AI coaching can engage AWS Professional Services or AWS Training Partners to design custom programs around the 6–10 week sprint model [</w:t>
      </w:r>
      <w:hyperlink r:id="rId22">
        <w:r>
          <w:rPr>
            <w:rStyle w:val="Hyperlink"/>
          </w:rPr>
          <w:t xml:space="preserve">1</w:t>
        </w:r>
      </w:hyperlink>
      <w:r>
        <w:t xml:space="preserve">,</w:t>
      </w:r>
      <w:r>
        <w:t xml:space="preserve"> </w:t>
      </w:r>
      <w:hyperlink r:id="rId75">
        <w:r>
          <w:rPr>
            <w:rStyle w:val="Hyperlink"/>
          </w:rPr>
          <w:t xml:space="preserve">41</w:t>
        </w:r>
      </w:hyperlink>
      <w:r>
        <w:t xml:space="preserve">], ensuring that the manager activation recommendation translates into concrete, time-bound action.</w:t>
      </w:r>
    </w:p>
    <w:bookmarkEnd w:id="76"/>
    <w:bookmarkStart w:id="85" w:name="Xb2ceda4a01996e4cc267ec32c7e16adea3cf3b3"/>
    <w:p>
      <w:pPr>
        <w:pStyle w:val="Heading2"/>
      </w:pPr>
      <w:r>
        <w:t xml:space="preserve">Actionable Recommendations and Strategic Roadmap</w:t>
      </w:r>
    </w:p>
    <w:p>
      <w:pPr>
        <w:pStyle w:val="FirstParagraph"/>
      </w:pPr>
      <w:r>
        <w:t xml:space="preserve">Based on the synthesis of current research and enterprise best practices, the following strategic recommendations provide a roadmap for organizations seeking to close the AI skills gap and capture the full value of their AI investments.</w:t>
      </w:r>
    </w:p>
    <w:p>
      <w:pPr>
        <w:pStyle w:val="BodyText"/>
      </w:pPr>
      <w:r>
        <w:rPr>
          <w:b/>
          <w:bCs/>
        </w:rPr>
        <w:t xml:space="preserve">Rebalance Investment According to the 10-20-70 Model.</w:t>
      </w:r>
      <w:r>
        <w:t xml:space="preserve"> </w:t>
      </w:r>
      <w:r>
        <w:t xml:space="preserve">Organizations must shift budget and executive attention toward the 70% people, process, and organizational change component of AI value creation [</w:t>
      </w:r>
      <w:hyperlink r:id="rId22">
        <w:r>
          <w:rPr>
            <w:rStyle w:val="Hyperlink"/>
          </w:rPr>
          <w:t xml:space="preserve">1</w:t>
        </w:r>
      </w:hyperlink>
      <w:r>
        <w:t xml:space="preserve">]. This means treating workforce transformation as the primary workstream rather than a supporting function of technology deployment. Future-built companies demonstrate this principle by planning to upskill more than 50% of employees [</w:t>
      </w:r>
      <w:hyperlink r:id="rId25">
        <w:r>
          <w:rPr>
            <w:rStyle w:val="Hyperlink"/>
          </w:rPr>
          <w:t xml:space="preserve">4</w:t>
        </w:r>
      </w:hyperlink>
      <w:r>
        <w:t xml:space="preserve">], recognizing that technology without capable people produces the zero-return outcomes seen in 95% of unstructured AI experiments [</w:t>
      </w:r>
      <w:hyperlink r:id="rId24">
        <w:r>
          <w:rPr>
            <w:rStyle w:val="Hyperlink"/>
          </w:rPr>
          <w:t xml:space="preserve">3</w:t>
        </w:r>
      </w:hyperlink>
      <w:r>
        <w:t xml:space="preserve">].</w:t>
      </w:r>
    </w:p>
    <w:p>
      <w:pPr>
        <w:pStyle w:val="BodyText"/>
      </w:pPr>
      <w:r>
        <w:rPr>
          <w:b/>
          <w:bCs/>
        </w:rPr>
        <w:t xml:space="preserve">Deploy Role-Based Tiered Learning with 90-Day Milestones.</w:t>
      </w:r>
      <w:r>
        <w:t xml:space="preserve"> </w:t>
      </w:r>
      <w:r>
        <w:t xml:space="preserve">Implement the Foundational → Applied → Embedded curriculum architecture [</w:t>
      </w:r>
      <w:hyperlink r:id="rId22">
        <w:r>
          <w:rPr>
            <w:rStyle w:val="Hyperlink"/>
          </w:rPr>
          <w:t xml:space="preserve">1</w:t>
        </w:r>
      </w:hyperlink>
      <w:r>
        <w:t xml:space="preserve">] with clear progression criteria and 90-180 day proof points [</w:t>
      </w:r>
      <w:hyperlink r:id="rId22">
        <w:r>
          <w:rPr>
            <w:rStyle w:val="Hyperlink"/>
          </w:rPr>
          <w:t xml:space="preserve">1</w:t>
        </w:r>
      </w:hyperlink>
      <w:r>
        <w:t xml:space="preserve">]. Begin with three to four focused business missions rather than broad experimentation, using 6-10 week sprints to build genuine capability before expanding. Ensure at least five hours of structured training with in-person coaching support to drive regular AI usage [</w:t>
      </w:r>
      <w:hyperlink r:id="rId45">
        <w:r>
          <w:rPr>
            <w:rStyle w:val="Hyperlink"/>
          </w:rPr>
          <w:t xml:space="preserve">15</w:t>
        </w:r>
      </w:hyperlink>
      <w:r>
        <w:t xml:space="preserve">].</w:t>
      </w:r>
    </w:p>
    <w:p>
      <w:pPr>
        <w:pStyle w:val="BodyText"/>
      </w:pPr>
      <w:r>
        <w:rPr>
          <w:b/>
          <w:bCs/>
        </w:rPr>
        <w:t xml:space="preserve">Measure Behavior Change, Not Course Completion.</w:t>
      </w:r>
      <w:r>
        <w:t xml:space="preserve"> </w:t>
      </w:r>
      <w:r>
        <w:t xml:space="preserve">Adopt the four-category measurement framework—productivity, quality, labor leverage, and strategic speed [</w:t>
      </w:r>
      <w:hyperlink r:id="rId45">
        <w:r>
          <w:rPr>
            <w:rStyle w:val="Hyperlink"/>
          </w:rPr>
          <w:t xml:space="preserve">15</w:t>
        </w:r>
      </w:hyperlink>
      <w:r>
        <w:t xml:space="preserve">]—and establish well-defined KPIs from the outset. Track workflow integration depth and business impact rather than training hours or certification counts. Address the current reality where fewer than one in five organizations track well-defined KPIs for generative AI solutions [</w:t>
      </w:r>
      <w:hyperlink r:id="rId45">
        <w:r>
          <w:rPr>
            <w:rStyle w:val="Hyperlink"/>
          </w:rPr>
          <w:t xml:space="preserve">15</w:t>
        </w:r>
      </w:hyperlink>
      <w:r>
        <w:t xml:space="preserve">].</w:t>
      </w:r>
    </w:p>
    <w:p>
      <w:pPr>
        <w:pStyle w:val="BodyText"/>
      </w:pPr>
      <w:r>
        <w:rPr>
          <w:b/>
          <w:bCs/>
        </w:rPr>
        <w:t xml:space="preserve">Build Responsible AI Governance into Learning Design from Day One.</w:t>
      </w:r>
      <w:r>
        <w:t xml:space="preserve"> </w:t>
      </w:r>
      <w:r>
        <w:t xml:space="preserve">Integrate the eight dimensions of responsible AI [</w:t>
      </w:r>
      <w:hyperlink r:id="rId65">
        <w:r>
          <w:rPr>
            <w:rStyle w:val="Hyperlink"/>
          </w:rPr>
          <w:t xml:space="preserve">32</w:t>
        </w:r>
      </w:hyperlink>
      <w:r>
        <w:t xml:space="preserve">] into every tier of the learning framework rather than treating governance as a separate compliance exercise [</w:t>
      </w:r>
      <w:hyperlink r:id="rId22">
        <w:r>
          <w:rPr>
            <w:rStyle w:val="Hyperlink"/>
          </w:rPr>
          <w:t xml:space="preserve">1</w:t>
        </w:r>
      </w:hyperlink>
      <w:r>
        <w:t xml:space="preserve">]. Align training timelines with EU AI Act enforcement milestones [</w:t>
      </w:r>
      <w:hyperlink r:id="rId28">
        <w:r>
          <w:rPr>
            <w:rStyle w:val="Hyperlink"/>
          </w:rPr>
          <w:t xml:space="preserve">7</w:t>
        </w:r>
      </w:hyperlink>
      <w:r>
        <w:t xml:space="preserve">] and stratify governance depth by role and decision-making authority [</w:t>
      </w:r>
      <w:hyperlink r:id="rId46">
        <w:r>
          <w:rPr>
            <w:rStyle w:val="Hyperlink"/>
          </w:rPr>
          <w:t xml:space="preserve">16</w:t>
        </w:r>
      </w:hyperlink>
      <w:r>
        <w:t xml:space="preserve">].</w:t>
      </w:r>
    </w:p>
    <w:p>
      <w:pPr>
        <w:pStyle w:val="BodyText"/>
      </w:pPr>
      <w:r>
        <w:rPr>
          <w:b/>
          <w:bCs/>
        </w:rPr>
        <w:t xml:space="preserve">Activate Middle Management as Transformation Catalysts.</w:t>
      </w:r>
      <w:r>
        <w:t xml:space="preserve"> </w:t>
      </w:r>
      <w:r>
        <w:t xml:space="preserve">Close the manager capability gap by equipping leaders with clear guidance on reinvesting productivity gains, role-modeling AI use, and translating organizational AI strategy into team-level norms and expectations [</w:t>
      </w:r>
      <w:hyperlink r:id="rId22">
        <w:r>
          <w:rPr>
            <w:rStyle w:val="Hyperlink"/>
          </w:rPr>
          <w:t xml:space="preserve">1</w:t>
        </w:r>
      </w:hyperlink>
      <w:r>
        <w:t xml:space="preserve">]. The 88% vs. 25% role-modeling differential between mature organizations and laggards [</w:t>
      </w:r>
      <w:hyperlink r:id="rId22">
        <w:r>
          <w:rPr>
            <w:rStyle w:val="Hyperlink"/>
          </w:rPr>
          <w:t xml:space="preserve">1</w:t>
        </w:r>
      </w:hyperlink>
      <w:r>
        <w:t xml:space="preserve">] demonstrates that manager activation is the single highest-leverage intervention for scaling adoption.</w:t>
      </w:r>
    </w:p>
    <w:p>
      <w:pPr>
        <w:pStyle w:val="BodyText"/>
      </w:pPr>
      <w:r>
        <w:rPr>
          <w:b/>
          <w:bCs/>
        </w:rPr>
        <w:t xml:space="preserve">Treat Transformation as a Multi-Year Journey Across Three Horizons.</w:t>
      </w:r>
      <w:r>
        <w:t xml:space="preserve"> </w:t>
      </w:r>
      <w:r>
        <w:t xml:space="preserve">Align expectations with McKinsey’s three-horizon model—Enablement, Automation, and Reinvention [</w:t>
      </w:r>
      <w:hyperlink r:id="rId48">
        <w:r>
          <w:rPr>
            <w:rStyle w:val="Hyperlink"/>
          </w:rPr>
          <w:t xml:space="preserve">17</w:t>
        </w:r>
      </w:hyperlink>
      <w:r>
        <w:t xml:space="preserve">]—recognizing that each horizon requires progressively deeper organizational change. Invest in the adoption and domain transformation dimensions of upskilling [</w:t>
      </w:r>
      <w:hyperlink r:id="rId72">
        <w:r>
          <w:rPr>
            <w:rStyle w:val="Hyperlink"/>
          </w:rPr>
          <w:t xml:space="preserve">38</w:t>
        </w:r>
      </w:hyperlink>
      <w:r>
        <w:t xml:space="preserve">], not just literacy, to move beyond the 60%+ of organizations seeing no bottom-line impact from their AI deployments [</w:t>
      </w:r>
      <w:hyperlink r:id="rId23">
        <w:r>
          <w:rPr>
            <w:rStyle w:val="Hyperlink"/>
          </w:rPr>
          <w:t xml:space="preserve">2</w:t>
        </w:r>
      </w:hyperlink>
      <w:r>
        <w:t xml:space="preserve">].</w:t>
      </w:r>
    </w:p>
    <w:bookmarkStart w:id="84" w:name="X7d66ec9763f4d90631d46b680e3af73182af183"/>
    <w:p>
      <w:pPr>
        <w:pStyle w:val="Heading3"/>
      </w:pPr>
      <w:r>
        <w:t xml:space="preserve">How AWS Training and Certification Enables This Roadmap</w:t>
      </w:r>
    </w:p>
    <w:p>
      <w:pPr>
        <w:pStyle w:val="FirstParagraph"/>
      </w:pPr>
      <w:r>
        <w:t xml:space="preserve">AWS Training and Certification provides a comprehensive ecosystem of programs, certifications, and tools that map directly to each strategic recommendation, enabling organizations to move from strategy to execution with proven, scalable solutions.</w:t>
      </w:r>
    </w:p>
    <w:p>
      <w:pPr>
        <w:pStyle w:val="BodyText"/>
      </w:pPr>
      <w:r>
        <w:rPr>
          <w:b/>
          <w:bCs/>
        </w:rPr>
        <w:t xml:space="preserve">For Rebalancing Investment (10-20-70 Model):</w:t>
      </w:r>
      <w:r>
        <w:t xml:space="preserve"> </w:t>
      </w:r>
      <w:r>
        <w:t xml:space="preserve">The AWS Skills Guild is a consultative engagement that develops bespoke cloud and AI enablement initiatives combining formal education with hands-on training, directly addressing the 70% people and process dimension [</w:t>
      </w:r>
      <w:hyperlink r:id="rId77">
        <w:r>
          <w:rPr>
            <w:rStyle w:val="Hyperlink"/>
          </w:rPr>
          <w:t xml:space="preserve">42</w:t>
        </w:r>
      </w:hyperlink>
      <w:r>
        <w:t xml:space="preserve">]. The program’s three-pillar structure—Excitement, Enablement, and Advocacy—creates self-sustaining learning cultures rather than one-time training events [</w:t>
      </w:r>
      <w:hyperlink r:id="rId50">
        <w:r>
          <w:rPr>
            <w:rStyle w:val="Hyperlink"/>
          </w:rPr>
          <w:t xml:space="preserve">19</w:t>
        </w:r>
      </w:hyperlink>
      <w:r>
        <w:t xml:space="preserve">].</w:t>
      </w:r>
    </w:p>
    <w:p>
      <w:pPr>
        <w:pStyle w:val="BodyText"/>
      </w:pPr>
      <w:r>
        <w:rPr>
          <w:b/>
          <w:bCs/>
        </w:rPr>
        <w:t xml:space="preserve">For Role-Based Tiered Learning with 90-Day Milestones:</w:t>
      </w:r>
      <w:r>
        <w:t xml:space="preserve"> </w:t>
      </w:r>
      <w:r>
        <w:t xml:space="preserve">AWS’s certification architecture maps precisely to the Foundational → Applied → Embedded framework: AWS Certified AI Practitioner for foundational AI fluency [</w:t>
      </w:r>
      <w:hyperlink r:id="rId61">
        <w:r>
          <w:rPr>
            <w:rStyle w:val="Hyperlink"/>
          </w:rPr>
          <w:t xml:space="preserve">29</w:t>
        </w:r>
      </w:hyperlink>
      <w:r>
        <w:t xml:space="preserve">], AWS Certified Machine Learning Engineer – Associate for applied workflow integration [</w:t>
      </w:r>
      <w:hyperlink r:id="rId62">
        <w:r>
          <w:rPr>
            <w:rStyle w:val="Hyperlink"/>
          </w:rPr>
          <w:t xml:space="preserve">30</w:t>
        </w:r>
      </w:hyperlink>
      <w:r>
        <w:t xml:space="preserve">], and AWS Certified Generative AI Developer – Professional for embedded, production-ready AI development [</w:t>
      </w:r>
      <w:hyperlink r:id="rId63">
        <w:r>
          <w:rPr>
            <w:rStyle w:val="Hyperlink"/>
          </w:rPr>
          <w:t xml:space="preserve">31</w:t>
        </w:r>
      </w:hyperlink>
      <w:r>
        <w:t xml:space="preserve">]. The AWS Skill Builder Team subscription provides over 330 AI learning resources with hands-on labs, Meeting Simulator for communication practice, and Cohorts Studio for team-based collaborative learning [</w:t>
      </w:r>
      <w:hyperlink r:id="rId52">
        <w:r>
          <w:rPr>
            <w:rStyle w:val="Hyperlink"/>
          </w:rPr>
          <w:t xml:space="preserve">21</w:t>
        </w:r>
      </w:hyperlink>
      <w:r>
        <w:t xml:space="preserve">,</w:t>
      </w:r>
      <w:r>
        <w:t xml:space="preserve"> </w:t>
      </w:r>
      <w:hyperlink r:id="rId78">
        <w:r>
          <w:rPr>
            <w:rStyle w:val="Hyperlink"/>
          </w:rPr>
          <w:t xml:space="preserve">43</w:t>
        </w:r>
      </w:hyperlink>
      <w:r>
        <w:t xml:space="preserve">].</w:t>
      </w:r>
    </w:p>
    <w:p>
      <w:pPr>
        <w:pStyle w:val="BodyText"/>
      </w:pPr>
      <w:r>
        <w:rPr>
          <w:b/>
          <w:bCs/>
        </w:rPr>
        <w:t xml:space="preserve">For Measuring Behavior Change:</w:t>
      </w:r>
      <w:r>
        <w:t xml:space="preserve"> </w:t>
      </w:r>
      <w:r>
        <w:t xml:space="preserve">AWS Skill Builder’s admin dashboards provide completion tracking, assessment scores, learning plan progress, and team-level analytics [</w:t>
      </w:r>
      <w:hyperlink r:id="rId22">
        <w:r>
          <w:rPr>
            <w:rStyle w:val="Hyperlink"/>
          </w:rPr>
          <w:t xml:space="preserve">1</w:t>
        </w:r>
      </w:hyperlink>
      <w:r>
        <w:t xml:space="preserve">]. Organizations should integrate these learning metrics with operational data to achieve the full productivity, quality, labor leverage, and strategic speed measurement framework [</w:t>
      </w:r>
      <w:hyperlink r:id="rId45">
        <w:r>
          <w:rPr>
            <w:rStyle w:val="Hyperlink"/>
          </w:rPr>
          <w:t xml:space="preserve">15</w:t>
        </w:r>
      </w:hyperlink>
      <w:r>
        <w:t xml:space="preserve">]. The AWS Learning Needs Analysis offers a free baseline assessment to identify skill gaps before implementation begins [</w:t>
      </w:r>
      <w:hyperlink r:id="rId49">
        <w:r>
          <w:rPr>
            <w:rStyle w:val="Hyperlink"/>
          </w:rPr>
          <w:t xml:space="preserve">18</w:t>
        </w:r>
      </w:hyperlink>
      <w:r>
        <w:t xml:space="preserve">].</w:t>
      </w:r>
    </w:p>
    <w:p>
      <w:pPr>
        <w:pStyle w:val="BodyText"/>
      </w:pPr>
      <w:r>
        <w:rPr>
          <w:b/>
          <w:bCs/>
        </w:rPr>
        <w:t xml:space="preserve">For Responsible AI Governance:</w:t>
      </w:r>
      <w:r>
        <w:t xml:space="preserve"> </w:t>
      </w:r>
      <w:r>
        <w:t xml:space="preserve">AWS offers tiered governance training from the AI Practitioner certification (which validates responsible AI principles) [</w:t>
      </w:r>
      <w:hyperlink r:id="rId61">
        <w:r>
          <w:rPr>
            <w:rStyle w:val="Hyperlink"/>
          </w:rPr>
          <w:t xml:space="preserve">29</w:t>
        </w:r>
      </w:hyperlink>
      <w:r>
        <w:t xml:space="preserve">] through the Well-Architected Responsible AI Lens [</w:t>
      </w:r>
      <w:hyperlink r:id="rId67">
        <w:r>
          <w:rPr>
            <w:rStyle w:val="Hyperlink"/>
          </w:rPr>
          <w:t xml:space="preserve">34</w:t>
        </w:r>
      </w:hyperlink>
      <w:r>
        <w:t xml:space="preserve">] and EU AI Act compliance resources [</w:t>
      </w:r>
      <w:hyperlink r:id="rId69">
        <w:r>
          <w:rPr>
            <w:rStyle w:val="Hyperlink"/>
          </w:rPr>
          <w:t xml:space="preserve">36</w:t>
        </w:r>
      </w:hyperlink>
      <w:r>
        <w:t xml:space="preserve">]. The AWS User Guide to GRC for Responsible AI Adoption (May 2026) provides practical compliance-aligned guidance [</w:t>
      </w:r>
      <w:hyperlink r:id="rId68">
        <w:r>
          <w:rPr>
            <w:rStyle w:val="Hyperlink"/>
          </w:rPr>
          <w:t xml:space="preserve">35</w:t>
        </w:r>
      </w:hyperlink>
      <w:r>
        <w:t xml:space="preserve">].</w:t>
      </w:r>
    </w:p>
    <w:p>
      <w:pPr>
        <w:pStyle w:val="BodyText"/>
      </w:pPr>
      <w:r>
        <w:rPr>
          <w:b/>
          <w:bCs/>
        </w:rPr>
        <w:t xml:space="preserve">For Activating Middle Management:</w:t>
      </w:r>
      <w:r>
        <w:t xml:space="preserve"> </w:t>
      </w:r>
      <w:r>
        <w:t xml:space="preserve">AWS addresses the leadership gap through</w:t>
      </w:r>
      <w:r>
        <w:t xml:space="preserve"> </w:t>
      </w:r>
      <w:r>
        <w:t xml:space="preserve">“Generative AI for Decision Makers”</w:t>
      </w:r>
      <w:r>
        <w:t xml:space="preserve"> </w:t>
      </w:r>
      <w:r>
        <w:t xml:space="preserve">and</w:t>
      </w:r>
      <w:r>
        <w:t xml:space="preserve"> </w:t>
      </w:r>
      <w:r>
        <w:t xml:space="preserve">“Planning a Generative AI Project”</w:t>
      </w:r>
      <w:r>
        <w:t xml:space="preserve"> </w:t>
      </w:r>
      <w:r>
        <w:t xml:space="preserve">courses [</w:t>
      </w:r>
      <w:hyperlink r:id="rId22">
        <w:r>
          <w:rPr>
            <w:rStyle w:val="Hyperlink"/>
          </w:rPr>
          <w:t xml:space="preserve">1</w:t>
        </w:r>
      </w:hyperlink>
      <w:r>
        <w:t xml:space="preserve">], while the AWS Organizational Change Acceleration (OCA) 6-Point Framework supports the broader culture, operating model, and change leadership dimensions [</w:t>
      </w:r>
      <w:hyperlink r:id="rId74">
        <w:r>
          <w:rPr>
            <w:rStyle w:val="Hyperlink"/>
          </w:rPr>
          <w:t xml:space="preserve">40</w:t>
        </w:r>
      </w:hyperlink>
      <w:r>
        <w:t xml:space="preserve">]. Custom programs via AWS Professional Services or Training Partners can be designed around the sprint-based model for manager coaching [</w:t>
      </w:r>
      <w:hyperlink r:id="rId22">
        <w:r>
          <w:rPr>
            <w:rStyle w:val="Hyperlink"/>
          </w:rPr>
          <w:t xml:space="preserve">1</w:t>
        </w:r>
      </w:hyperlink>
      <w:r>
        <w:t xml:space="preserve">,</w:t>
      </w:r>
      <w:r>
        <w:t xml:space="preserve"> </w:t>
      </w:r>
      <w:hyperlink r:id="rId75">
        <w:r>
          <w:rPr>
            <w:rStyle w:val="Hyperlink"/>
          </w:rPr>
          <w:t xml:space="preserve">41</w:t>
        </w:r>
      </w:hyperlink>
      <w:r>
        <w:t xml:space="preserve">].</w:t>
      </w:r>
    </w:p>
    <w:p>
      <w:pPr>
        <w:pStyle w:val="BodyText"/>
      </w:pPr>
      <w:r>
        <w:rPr>
          <w:b/>
          <w:bCs/>
        </w:rPr>
        <w:t xml:space="preserve">For Multi-Year Transformation:</w:t>
      </w:r>
      <w:r>
        <w:t xml:space="preserve"> </w:t>
      </w:r>
      <w:r>
        <w:t xml:space="preserve">The Five V’s Framework (Value, Visualize, Validate, Verify, Venture) provides a proven methodology for scaling from pilots to production—65% of AWS Generative AI Innovation Center projects have transitioned from concept to production using this approach, some in as few as 45 days [</w:t>
      </w:r>
      <w:hyperlink r:id="rId54">
        <w:r>
          <w:rPr>
            <w:rStyle w:val="Hyperlink"/>
          </w:rPr>
          <w:t xml:space="preserve">23</w:t>
        </w:r>
      </w:hyperlink>
      <w:r>
        <w:t xml:space="preserve">]. Specialized learning plans such as the Agentic AI Technical Learning Plan [</w:t>
      </w:r>
      <w:hyperlink r:id="rId79">
        <w:r>
          <w:rPr>
            <w:rStyle w:val="Hyperlink"/>
          </w:rPr>
          <w:t xml:space="preserve">44</w:t>
        </w:r>
      </w:hyperlink>
      <w:r>
        <w:t xml:space="preserve">] and role-based career journeys [</w:t>
      </w:r>
      <w:hyperlink r:id="rId80">
        <w:r>
          <w:rPr>
            <w:rStyle w:val="Hyperlink"/>
          </w:rPr>
          <w:t xml:space="preserve">45</w:t>
        </w:r>
      </w:hyperlink>
      <w:r>
        <w:t xml:space="preserve">] ensure that learning evolves as organizations progress through transformation horizons.</w:t>
      </w:r>
    </w:p>
    <w:p>
      <w:pPr>
        <w:pStyle w:val="CaptionedFigure"/>
      </w:pPr>
      <w:r>
        <w:drawing>
          <wp:inline>
            <wp:extent cx="6756400" cy="4199661"/>
            <wp:effectExtent b="0" l="0" r="0" t="0"/>
            <wp:docPr descr="AWS Training and Certification Roadmap Mapping" title="" id="82" name="Picture"/>
            <a:graphic>
              <a:graphicData uri="http://schemas.openxmlformats.org/drawingml/2006/picture">
                <pic:pic>
                  <pic:nvPicPr>
                    <pic:cNvPr descr="/home/appuser/RESEARCH_EXPORT_WORKDIR/8f516c7f-efc3-4af6-a6fe-0e43c617f406/assets/6b7ac524-e450-415a-901b-febaa3739670.png" id="83" name="Picture"/>
                    <pic:cNvPicPr>
                      <a:picLocks noChangeArrowheads="1" noChangeAspect="1"/>
                    </pic:cNvPicPr>
                  </pic:nvPicPr>
                  <pic:blipFill>
                    <a:blip r:embed="rId81"/>
                    <a:stretch>
                      <a:fillRect/>
                    </a:stretch>
                  </pic:blipFill>
                  <pic:spPr bwMode="auto">
                    <a:xfrm>
                      <a:off x="0" y="0"/>
                      <a:ext cx="6756400" cy="4199661"/>
                    </a:xfrm>
                    <a:prstGeom prst="rect">
                      <a:avLst/>
                    </a:prstGeom>
                    <a:noFill/>
                    <a:ln w="9525">
                      <a:noFill/>
                      <a:headEnd/>
                      <a:tailEnd/>
                    </a:ln>
                  </pic:spPr>
                </pic:pic>
              </a:graphicData>
            </a:graphic>
          </wp:inline>
        </w:drawing>
      </w:r>
    </w:p>
    <w:p>
      <w:pPr>
        <w:pStyle w:val="ImageCaption"/>
      </w:pPr>
      <w:r>
        <w:t xml:space="preserve">AWS Training and Certification Roadmap Mapping</w:t>
      </w:r>
    </w:p>
    <w:p>
      <w:pPr>
        <w:pStyle w:val="BodyText"/>
      </w:pPr>
      <w:r>
        <w:rPr>
          <w:i/>
          <w:iCs/>
        </w:rPr>
        <w:t xml:space="preserve">Chart Explanation</w:t>
      </w:r>
      <w:r>
        <w:t xml:space="preserve">: This graphic maps specific AWS Training and Certification solutions to each phase of the 90-180 day implementation roadmap. Phase 1 (Identify &amp; Baseline) leverages the AWS Learning Needs Analysis [</w:t>
      </w:r>
      <w:hyperlink r:id="rId49">
        <w:r>
          <w:rPr>
            <w:rStyle w:val="Hyperlink"/>
          </w:rPr>
          <w:t xml:space="preserve">18</w:t>
        </w:r>
      </w:hyperlink>
      <w:r>
        <w:t xml:space="preserve">] and foundational certifications [</w:t>
      </w:r>
      <w:hyperlink r:id="rId61">
        <w:r>
          <w:rPr>
            <w:rStyle w:val="Hyperlink"/>
          </w:rPr>
          <w:t xml:space="preserve">29</w:t>
        </w:r>
      </w:hyperlink>
      <w:r>
        <w:t xml:space="preserve">]. Phase 2 (Test &amp; Sprint) deploys AWS Skills Guild Enablement [</w:t>
      </w:r>
      <w:hyperlink r:id="rId50">
        <w:r>
          <w:rPr>
            <w:rStyle w:val="Hyperlink"/>
          </w:rPr>
          <w:t xml:space="preserve">19</w:t>
        </w:r>
      </w:hyperlink>
      <w:r>
        <w:t xml:space="preserve">] and Skill Builder hands-on labs [</w:t>
      </w:r>
      <w:hyperlink r:id="rId52">
        <w:r>
          <w:rPr>
            <w:rStyle w:val="Hyperlink"/>
          </w:rPr>
          <w:t xml:space="preserve">21</w:t>
        </w:r>
      </w:hyperlink>
      <w:r>
        <w:t xml:space="preserve">]. Phase 3 (Measure &amp; Scale) applies the Five V’s Framework [</w:t>
      </w:r>
      <w:hyperlink r:id="rId54">
        <w:r>
          <w:rPr>
            <w:rStyle w:val="Hyperlink"/>
          </w:rPr>
          <w:t xml:space="preserve">23</w:t>
        </w:r>
      </w:hyperlink>
      <w:r>
        <w:t xml:space="preserve">] with admin dashboards for tracking [</w:t>
      </w:r>
      <w:hyperlink r:id="rId22">
        <w:r>
          <w:rPr>
            <w:rStyle w:val="Hyperlink"/>
          </w:rPr>
          <w:t xml:space="preserve">1</w:t>
        </w:r>
      </w:hyperlink>
      <w:r>
        <w:t xml:space="preserve">]. Phase 4 (Expand) scales through advanced certifications [</w:t>
      </w:r>
      <w:hyperlink r:id="rId62">
        <w:r>
          <w:rPr>
            <w:rStyle w:val="Hyperlink"/>
          </w:rPr>
          <w:t xml:space="preserve">30</w:t>
        </w:r>
      </w:hyperlink>
      <w:r>
        <w:t xml:space="preserve">,</w:t>
      </w:r>
      <w:r>
        <w:t xml:space="preserve"> </w:t>
      </w:r>
      <w:hyperlink r:id="rId63">
        <w:r>
          <w:rPr>
            <w:rStyle w:val="Hyperlink"/>
          </w:rPr>
          <w:t xml:space="preserve">31</w:t>
        </w:r>
      </w:hyperlink>
      <w:r>
        <w:t xml:space="preserve">] and the OCA 6-Point Framework [</w:t>
      </w:r>
      <w:hyperlink r:id="rId74">
        <w:r>
          <w:rPr>
            <w:rStyle w:val="Hyperlink"/>
          </w:rPr>
          <w:t xml:space="preserve">40</w:t>
        </w:r>
      </w:hyperlink>
      <w:r>
        <w:t xml:space="preserve">]. Proven enterprise results include 234% ROI [</w:t>
      </w:r>
      <w:hyperlink r:id="rId57">
        <w:r>
          <w:rPr>
            <w:rStyle w:val="Hyperlink"/>
          </w:rPr>
          <w:t xml:space="preserve">26</w:t>
        </w:r>
      </w:hyperlink>
      <w:r>
        <w:t xml:space="preserve">], 84% improved efficiency [</w:t>
      </w:r>
      <w:hyperlink r:id="rId58">
        <w:r>
          <w:rPr>
            <w:rStyle w:val="Hyperlink"/>
          </w:rPr>
          <w:t xml:space="preserve">27</w:t>
        </w:r>
      </w:hyperlink>
      <w:r>
        <w:t xml:space="preserve">], 85% participation rates [</w:t>
      </w:r>
      <w:hyperlink r:id="rId51">
        <w:r>
          <w:rPr>
            <w:rStyle w:val="Hyperlink"/>
          </w:rPr>
          <w:t xml:space="preserve">20</w:t>
        </w:r>
      </w:hyperlink>
      <w:r>
        <w:t xml:space="preserve">], and 65% pilot-to-production conversion [</w:t>
      </w:r>
      <w:hyperlink r:id="rId54">
        <w:r>
          <w:rPr>
            <w:rStyle w:val="Hyperlink"/>
          </w:rPr>
          <w:t xml:space="preserve">23</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Strategic Recommendation</w:t>
            </w:r>
          </w:p>
        </w:tc>
        <w:tc>
          <w:tcPr/>
          <w:p>
            <w:pPr>
              <w:pStyle w:val="Compact"/>
            </w:pPr>
            <w:r>
              <w:t xml:space="preserve">AWS Training &amp; Certification Solution</w:t>
            </w:r>
          </w:p>
        </w:tc>
        <w:tc>
          <w:tcPr/>
          <w:p>
            <w:pPr>
              <w:pStyle w:val="Compact"/>
            </w:pPr>
            <w:r>
              <w:t xml:space="preserve">Key Outcome Evidence</w:t>
            </w:r>
          </w:p>
        </w:tc>
      </w:tr>
      <w:tr>
        <w:tc>
          <w:tcPr/>
          <w:p>
            <w:pPr>
              <w:pStyle w:val="Compact"/>
            </w:pPr>
            <w:r>
              <w:t xml:space="preserve">Rebalance Investment (10-20-70)</w:t>
            </w:r>
          </w:p>
        </w:tc>
        <w:tc>
          <w:tcPr/>
          <w:p>
            <w:pPr>
              <w:pStyle w:val="Compact"/>
            </w:pPr>
            <w:r>
              <w:t xml:space="preserve">AWS Skills Guild (Excitement, Enablement, Advocacy) [</w:t>
            </w:r>
            <w:hyperlink r:id="rId50">
              <w:r>
                <w:rPr>
                  <w:rStyle w:val="Hyperlink"/>
                </w:rPr>
                <w:t xml:space="preserve">19</w:t>
              </w:r>
            </w:hyperlink>
            <w:r>
              <w:t xml:space="preserve">]</w:t>
            </w:r>
          </w:p>
        </w:tc>
        <w:tc>
          <w:tcPr/>
          <w:p>
            <w:pPr>
              <w:pStyle w:val="Compact"/>
            </w:pPr>
            <w:r>
              <w:t xml:space="preserve">85% participation, 90% reduction in manual processing [</w:t>
            </w:r>
            <w:hyperlink r:id="rId51">
              <w:r>
                <w:rPr>
                  <w:rStyle w:val="Hyperlink"/>
                </w:rPr>
                <w:t xml:space="preserve">20</w:t>
              </w:r>
            </w:hyperlink>
            <w:r>
              <w:t xml:space="preserve">]</w:t>
            </w:r>
          </w:p>
        </w:tc>
      </w:tr>
      <w:tr>
        <w:tc>
          <w:tcPr/>
          <w:p>
            <w:pPr>
              <w:pStyle w:val="Compact"/>
            </w:pPr>
            <w:r>
              <w:t xml:space="preserve">Role-Based Tiered Learning</w:t>
            </w:r>
          </w:p>
        </w:tc>
        <w:tc>
          <w:tcPr/>
          <w:p>
            <w:pPr>
              <w:pStyle w:val="Compact"/>
            </w:pPr>
            <w:r>
              <w:t xml:space="preserve">AI Practitioner → ML Engineer → Gen AI Developer certifications [</w:t>
            </w:r>
            <w:hyperlink r:id="rId61">
              <w:r>
                <w:rPr>
                  <w:rStyle w:val="Hyperlink"/>
                </w:rPr>
                <w:t xml:space="preserve">29</w:t>
              </w:r>
            </w:hyperlink>
            <w:r>
              <w:t xml:space="preserve">,</w:t>
            </w:r>
            <w:r>
              <w:t xml:space="preserve"> </w:t>
            </w:r>
            <w:hyperlink r:id="rId62">
              <w:r>
                <w:rPr>
                  <w:rStyle w:val="Hyperlink"/>
                </w:rPr>
                <w:t xml:space="preserve">30</w:t>
              </w:r>
            </w:hyperlink>
            <w:r>
              <w:t xml:space="preserve">,</w:t>
            </w:r>
            <w:r>
              <w:t xml:space="preserve"> </w:t>
            </w:r>
            <w:hyperlink r:id="rId63">
              <w:r>
                <w:rPr>
                  <w:rStyle w:val="Hyperlink"/>
                </w:rPr>
                <w:t xml:space="preserve">31</w:t>
              </w:r>
            </w:hyperlink>
            <w:r>
              <w:t xml:space="preserve">]</w:t>
            </w:r>
          </w:p>
        </w:tc>
        <w:tc>
          <w:tcPr/>
          <w:p>
            <w:pPr>
              <w:pStyle w:val="Compact"/>
            </w:pPr>
            <w:r>
              <w:t xml:space="preserve">Structured career progression from foundational to professional [</w:t>
            </w:r>
            <w:hyperlink r:id="rId80">
              <w:r>
                <w:rPr>
                  <w:rStyle w:val="Hyperlink"/>
                </w:rPr>
                <w:t xml:space="preserve">45</w:t>
              </w:r>
            </w:hyperlink>
            <w:r>
              <w:t xml:space="preserve">]</w:t>
            </w:r>
          </w:p>
        </w:tc>
      </w:tr>
      <w:tr>
        <w:tc>
          <w:tcPr/>
          <w:p>
            <w:pPr>
              <w:pStyle w:val="Compact"/>
            </w:pPr>
            <w:r>
              <w:t xml:space="preserve">Measure Behavior Change</w:t>
            </w:r>
          </w:p>
        </w:tc>
        <w:tc>
          <w:tcPr/>
          <w:p>
            <w:pPr>
              <w:pStyle w:val="Compact"/>
            </w:pPr>
            <w:r>
              <w:t xml:space="preserve">Skill Builder admin dashboards + Learning Needs Analysis [</w:t>
            </w:r>
            <w:hyperlink r:id="rId22">
              <w:r>
                <w:rPr>
                  <w:rStyle w:val="Hyperlink"/>
                </w:rPr>
                <w:t xml:space="preserve">1</w:t>
              </w:r>
            </w:hyperlink>
            <w:r>
              <w:t xml:space="preserve">,</w:t>
            </w:r>
            <w:r>
              <w:t xml:space="preserve"> </w:t>
            </w:r>
            <w:hyperlink r:id="rId49">
              <w:r>
                <w:rPr>
                  <w:rStyle w:val="Hyperlink"/>
                </w:rPr>
                <w:t xml:space="preserve">18</w:t>
              </w:r>
            </w:hyperlink>
            <w:r>
              <w:t xml:space="preserve">]</w:t>
            </w:r>
          </w:p>
        </w:tc>
        <w:tc>
          <w:tcPr/>
          <w:p>
            <w:pPr>
              <w:pStyle w:val="Compact"/>
            </w:pPr>
            <w:r>
              <w:t xml:space="preserve">84% improved on-job efficiency (ESG study) [</w:t>
            </w:r>
            <w:hyperlink r:id="rId58">
              <w:r>
                <w:rPr>
                  <w:rStyle w:val="Hyperlink"/>
                </w:rPr>
                <w:t xml:space="preserve">27</w:t>
              </w:r>
            </w:hyperlink>
            <w:r>
              <w:t xml:space="preserve">]</w:t>
            </w:r>
          </w:p>
        </w:tc>
      </w:tr>
      <w:tr>
        <w:tc>
          <w:tcPr/>
          <w:p>
            <w:pPr>
              <w:pStyle w:val="Compact"/>
            </w:pPr>
            <w:r>
              <w:t xml:space="preserve">Responsible AI Governance</w:t>
            </w:r>
          </w:p>
        </w:tc>
        <w:tc>
          <w:tcPr/>
          <w:p>
            <w:pPr>
              <w:pStyle w:val="Compact"/>
            </w:pPr>
            <w:r>
              <w:t xml:space="preserve">Well-Architected Responsible AI Lens + EU AI Act resources [</w:t>
            </w:r>
            <w:hyperlink r:id="rId67">
              <w:r>
                <w:rPr>
                  <w:rStyle w:val="Hyperlink"/>
                </w:rPr>
                <w:t xml:space="preserve">34</w:t>
              </w:r>
            </w:hyperlink>
            <w:r>
              <w:t xml:space="preserve">,</w:t>
            </w:r>
            <w:r>
              <w:t xml:space="preserve"> </w:t>
            </w:r>
            <w:hyperlink r:id="rId69">
              <w:r>
                <w:rPr>
                  <w:rStyle w:val="Hyperlink"/>
                </w:rPr>
                <w:t xml:space="preserve">36</w:t>
              </w:r>
            </w:hyperlink>
            <w:r>
              <w:t xml:space="preserve">]</w:t>
            </w:r>
          </w:p>
        </w:tc>
        <w:tc>
          <w:tcPr/>
          <w:p>
            <w:pPr>
              <w:pStyle w:val="Compact"/>
            </w:pPr>
            <w:r>
              <w:t xml:space="preserve">5,500+ EU professionals trained [</w:t>
            </w:r>
            <w:hyperlink r:id="rId68">
              <w:r>
                <w:rPr>
                  <w:rStyle w:val="Hyperlink"/>
                </w:rPr>
                <w:t xml:space="preserve">35</w:t>
              </w:r>
            </w:hyperlink>
            <w:r>
              <w:t xml:space="preserve">]</w:t>
            </w:r>
          </w:p>
        </w:tc>
      </w:tr>
      <w:tr>
        <w:tc>
          <w:tcPr/>
          <w:p>
            <w:pPr>
              <w:pStyle w:val="Compact"/>
            </w:pPr>
            <w:r>
              <w:t xml:space="preserve">Activate Middle Management</w:t>
            </w:r>
          </w:p>
        </w:tc>
        <w:tc>
          <w:tcPr/>
          <w:p>
            <w:pPr>
              <w:pStyle w:val="Compact"/>
            </w:pPr>
            <w:r>
              <w:t xml:space="preserve">Gen AI for Decision Makers + OCA 6-Point Framework [</w:t>
            </w:r>
            <w:hyperlink r:id="rId22">
              <w:r>
                <w:rPr>
                  <w:rStyle w:val="Hyperlink"/>
                </w:rPr>
                <w:t xml:space="preserve">1</w:t>
              </w:r>
            </w:hyperlink>
            <w:r>
              <w:t xml:space="preserve">,</w:t>
            </w:r>
            <w:r>
              <w:t xml:space="preserve"> </w:t>
            </w:r>
            <w:hyperlink r:id="rId74">
              <w:r>
                <w:rPr>
                  <w:rStyle w:val="Hyperlink"/>
                </w:rPr>
                <w:t xml:space="preserve">40</w:t>
              </w:r>
            </w:hyperlink>
            <w:r>
              <w:t xml:space="preserve">]</w:t>
            </w:r>
          </w:p>
        </w:tc>
        <w:tc>
          <w:tcPr/>
          <w:p>
            <w:pPr>
              <w:pStyle w:val="Compact"/>
            </w:pPr>
            <w:r>
              <w:t xml:space="preserve">Custom sprint-based programs via Training Partners [</w:t>
            </w:r>
            <w:hyperlink r:id="rId75">
              <w:r>
                <w:rPr>
                  <w:rStyle w:val="Hyperlink"/>
                </w:rPr>
                <w:t xml:space="preserve">41</w:t>
              </w:r>
            </w:hyperlink>
            <w:r>
              <w:t xml:space="preserve">]</w:t>
            </w:r>
          </w:p>
        </w:tc>
      </w:tr>
      <w:tr>
        <w:tc>
          <w:tcPr/>
          <w:p>
            <w:pPr>
              <w:pStyle w:val="Compact"/>
            </w:pPr>
            <w:r>
              <w:t xml:space="preserve">Multi-Year Transformation</w:t>
            </w:r>
          </w:p>
        </w:tc>
        <w:tc>
          <w:tcPr/>
          <w:p>
            <w:pPr>
              <w:pStyle w:val="Compact"/>
            </w:pPr>
            <w:r>
              <w:t xml:space="preserve">Five V’s Framework + Agentic AI Learning Plan [</w:t>
            </w:r>
            <w:hyperlink r:id="rId54">
              <w:r>
                <w:rPr>
                  <w:rStyle w:val="Hyperlink"/>
                </w:rPr>
                <w:t xml:space="preserve">23</w:t>
              </w:r>
            </w:hyperlink>
            <w:r>
              <w:t xml:space="preserve">,</w:t>
            </w:r>
            <w:r>
              <w:t xml:space="preserve"> </w:t>
            </w:r>
            <w:hyperlink r:id="rId79">
              <w:r>
                <w:rPr>
                  <w:rStyle w:val="Hyperlink"/>
                </w:rPr>
                <w:t xml:space="preserve">44</w:t>
              </w:r>
            </w:hyperlink>
            <w:r>
              <w:t xml:space="preserve">]</w:t>
            </w:r>
          </w:p>
        </w:tc>
        <w:tc>
          <w:tcPr/>
          <w:p>
            <w:pPr>
              <w:pStyle w:val="Compact"/>
            </w:pPr>
            <w:r>
              <w:t xml:space="preserve">65% pilot-to-production, some in 45 days [</w:t>
            </w:r>
            <w:hyperlink r:id="rId54">
              <w:r>
                <w:rPr>
                  <w:rStyle w:val="Hyperlink"/>
                </w:rPr>
                <w:t xml:space="preserve">23</w:t>
              </w:r>
            </w:hyperlink>
            <w:r>
              <w:t xml:space="preserve">]</w:t>
            </w:r>
          </w:p>
        </w:tc>
      </w:tr>
    </w:tbl>
    <w:p>
      <w:pPr>
        <w:pStyle w:val="BodyText"/>
      </w:pPr>
      <w:r>
        <w:rPr>
          <w:i/>
          <w:iCs/>
        </w:rPr>
        <w:t xml:space="preserve">Table: AWS Training &amp; Certification Solutions Mapped to Strategic Recommendations</w:t>
      </w:r>
    </w:p>
    <w:bookmarkEnd w:id="84"/>
    <w:bookmarkEnd w:id="85"/>
    <w:bookmarkStart w:id="86" w:name="references"/>
    <w:p>
      <w:pPr>
        <w:pStyle w:val="Heading2"/>
      </w:pPr>
      <w:r>
        <w:t xml:space="preserve">References</w:t>
      </w:r>
    </w:p>
    <w:p>
      <w:pPr>
        <w:pStyle w:val="FirstParagraph"/>
      </w:pPr>
      <w:r>
        <w:t xml:space="preserve">1. AI_Skills_Transformation_Full_Research_Record.docx</w:t>
      </w:r>
    </w:p>
    <w:p>
      <w:pPr>
        <w:pStyle w:val="BodyText"/>
      </w:pPr>
      <w:r>
        <w:t xml:space="preserve">2. https://www.mckinsey.com/capabilities/operations/our-insights/a-us-productivity-unlock-investing-in-frontline-workers-ai-skills</w:t>
      </w:r>
    </w:p>
    <w:p>
      <w:pPr>
        <w:pStyle w:val="BodyText"/>
      </w:pPr>
      <w:r>
        <w:t xml:space="preserve">3. https://hbr.org/2025/08/beware-the-ai-experimentation-trap</w:t>
      </w:r>
    </w:p>
    <w:p>
      <w:pPr>
        <w:pStyle w:val="BodyText"/>
      </w:pPr>
      <w:r>
        <w:t xml:space="preserve">4. https://www.bcg.com/publications/2026/ai-transformation-is-a-workforce-transformation</w:t>
      </w:r>
    </w:p>
    <w:p>
      <w:pPr>
        <w:pStyle w:val="BodyText"/>
      </w:pPr>
      <w:r>
        <w:t xml:space="preserve">5. https://blog.superhuman.com/ai-deployment/</w:t>
      </w:r>
    </w:p>
    <w:p>
      <w:pPr>
        <w:pStyle w:val="BodyText"/>
      </w:pPr>
      <w:r>
        <w:t xml:space="preserve">6. https://www.datacamp.com/blog/why-traditional-ai-training-isn-t-working-in-2026</w:t>
      </w:r>
    </w:p>
    <w:p>
      <w:pPr>
        <w:pStyle w:val="BodyText"/>
      </w:pPr>
      <w:r>
        <w:t xml:space="preserve">7. https://www.solytics-partners.com/resources/blogs/enterprise-ai-governance</w:t>
      </w:r>
    </w:p>
    <w:p>
      <w:pPr>
        <w:pStyle w:val="BodyText"/>
      </w:pPr>
      <w:r>
        <w:t xml:space="preserve">8. https://www.teksystems.com/en/insights/infographic/ai-adoption-enterprise-2026</w:t>
      </w:r>
    </w:p>
    <w:p>
      <w:pPr>
        <w:pStyle w:val="BodyText"/>
      </w:pPr>
      <w:r>
        <w:t xml:space="preserve">9. https://www.weforum.org/stories/jobs-and-the-future-of-work/ai-s-new-dual-workforce-challenge-balancing-overcapacity-and-talent-shortages/</w:t>
      </w:r>
    </w:p>
    <w:p>
      <w:pPr>
        <w:pStyle w:val="BodyText"/>
      </w:pPr>
      <w:r>
        <w:t xml:space="preserve">10. https://www.weforum.org/stories/2026/01/ai-has-already-added-1-3-million-new-jobs-according-to-linkedin-data/?ref=aicl.ghost.io</w:t>
      </w:r>
    </w:p>
    <w:p>
      <w:pPr>
        <w:pStyle w:val="BodyText"/>
      </w:pPr>
      <w:r>
        <w:t xml:space="preserve">11. https://www.bu.edu/online/2026/06/27/ai_skills_gap_2026/</w:t>
      </w:r>
    </w:p>
    <w:p>
      <w:pPr>
        <w:pStyle w:val="BodyText"/>
      </w:pPr>
      <w:r>
        <w:t xml:space="preserve">12. https://www.mckinsey.com/featured-insights/people-in-progress/the-ai-upskilling-challenge</w:t>
      </w:r>
    </w:p>
    <w:p>
      <w:pPr>
        <w:pStyle w:val="BodyText"/>
      </w:pPr>
      <w:r>
        <w:t xml:space="preserve">13. https://www.bcg.com/publications/2026/how-ai-leaders-create-competitive-advantage</w:t>
      </w:r>
    </w:p>
    <w:p>
      <w:pPr>
        <w:pStyle w:val="BodyText"/>
      </w:pPr>
      <w:r>
        <w:t xml:space="preserve">14. https://www.mckinsey.com/capabilities/tech-and-ai/our-insights/superagency-in-the-workplace-empowering-people-to-unlock-ais-full-potential-at-work</w:t>
      </w:r>
    </w:p>
    <w:p>
      <w:pPr>
        <w:pStyle w:val="BodyText"/>
      </w:pPr>
      <w:r>
        <w:t xml:space="preserve">15. https://www.forbes.com/councils/forbestechcouncil/2026/07/24/adaptive-learning-at-scale-turning-ai-upskilling-into-measurable-roi/</w:t>
      </w:r>
    </w:p>
    <w:p>
      <w:pPr>
        <w:pStyle w:val="BodyText"/>
      </w:pPr>
      <w:r>
        <w:t xml:space="preserve">16. https://www.datacamp.com/blog/best-platforms-to-train-teams-on-responsible-ai</w:t>
      </w:r>
    </w:p>
    <w:p>
      <w:pPr>
        <w:pStyle w:val="BodyText"/>
      </w:pPr>
      <w:r>
        <w:t xml:space="preserve">17. https://www.mckinsey.com/capabilities/people-and-organizational-performance/our-insights/from-adoption-to-impact-three-horizons-of-ai-transformation</w:t>
      </w:r>
    </w:p>
    <w:p>
      <w:pPr>
        <w:pStyle w:val="BodyText"/>
      </w:pPr>
      <w:r>
        <w:t xml:space="preserve">18. https://aws.amazon.com/training/teams</w:t>
      </w:r>
    </w:p>
    <w:p>
      <w:pPr>
        <w:pStyle w:val="BodyText"/>
      </w:pPr>
      <w:r>
        <w:t xml:space="preserve">19. https://d1.awsstatic.com/training-and-certification/Enterprise/aws-skills-guild-overview-brochure.pdf</w:t>
      </w:r>
    </w:p>
    <w:p>
      <w:pPr>
        <w:pStyle w:val="BodyText"/>
      </w:pPr>
      <w:r>
        <w:t xml:space="preserve">20. https://aws.amazon.com/solutions/case-studies/holcim-case-study/</w:t>
      </w:r>
    </w:p>
    <w:p>
      <w:pPr>
        <w:pStyle w:val="BodyText"/>
      </w:pPr>
      <w:r>
        <w:t xml:space="preserve">21. https://aws.amazon.com/training/digital/team-subscription</w:t>
      </w:r>
    </w:p>
    <w:p>
      <w:pPr>
        <w:pStyle w:val="BodyText"/>
      </w:pPr>
      <w:r>
        <w:t xml:space="preserve">22. https://aws.amazon.com/training/digital/pricing/</w:t>
      </w:r>
    </w:p>
    <w:p>
      <w:pPr>
        <w:pStyle w:val="BodyText"/>
      </w:pPr>
      <w:r>
        <w:t xml:space="preserve">23. https://aws.amazon.com/blogs/machine-learning/beyond-pilots-a-proven-framework-for-scaling-ai-to-production/</w:t>
      </w:r>
    </w:p>
    <w:p>
      <w:pPr>
        <w:pStyle w:val="BodyText"/>
      </w:pPr>
      <w:r>
        <w:t xml:space="preserve">24. https://aws.amazon.com/solutions/case-studies/globe-cloud-training-infographic/</w:t>
      </w:r>
    </w:p>
    <w:p>
      <w:pPr>
        <w:pStyle w:val="BodyText"/>
      </w:pPr>
      <w:r>
        <w:t xml:space="preserve">25. https://aws.amazon.com/solutions/case-studies/pearson-case-study/</w:t>
      </w:r>
    </w:p>
    <w:p>
      <w:pPr>
        <w:pStyle w:val="BodyText"/>
      </w:pPr>
      <w:r>
        <w:t xml:space="preserve">26. https://aws.amazon.com/blogs/training-and-certification/steps-to-implement-cloud-skilling-programs-to-jump-start-digital-transformation</w:t>
      </w:r>
    </w:p>
    <w:p>
      <w:pPr>
        <w:pStyle w:val="BodyText"/>
      </w:pPr>
      <w:r>
        <w:t xml:space="preserve">27. https://aws.amazon.com/blogs/training-and-certification/aws-training-and-certification-provide-positive-roi-to-learners/</w:t>
      </w:r>
    </w:p>
    <w:p>
      <w:pPr>
        <w:pStyle w:val="BodyText"/>
      </w:pPr>
      <w:r>
        <w:t xml:space="preserve">28. https://joshbersin.com/2026/02/the-enterprise-learning-tech-market-quickly-transforms-around-ai/</w:t>
      </w:r>
    </w:p>
    <w:p>
      <w:pPr>
        <w:pStyle w:val="BodyText"/>
      </w:pPr>
      <w:r>
        <w:t xml:space="preserve">29. https://docs.aws.amazon.com/aws-certification/latest/ai-practitioner-01/ai-practitioner-01.html</w:t>
      </w:r>
    </w:p>
    <w:p>
      <w:pPr>
        <w:pStyle w:val="BodyText"/>
      </w:pPr>
      <w:r>
        <w:t xml:space="preserve">30. https://docs.aws.amazon.com/aws-certification/latest/machine-learning-engineer-associate-01/machine-learning-engineer-associate-01.html</w:t>
      </w:r>
    </w:p>
    <w:p>
      <w:pPr>
        <w:pStyle w:val="BodyText"/>
      </w:pPr>
      <w:r>
        <w:t xml:space="preserve">31. https://aws.amazon.com/cn/blogs/training-and-certification/big-news-aws-expands-ai-certification-portfolio-and-updates-security-certification/</w:t>
      </w:r>
    </w:p>
    <w:p>
      <w:pPr>
        <w:pStyle w:val="BodyText"/>
      </w:pPr>
      <w:r>
        <w:t xml:space="preserve">32. https://aws.amazon.com/blogs/machine-learning/incorporating-responsible-ai-into-generative-ai-project-prioritization</w:t>
      </w:r>
    </w:p>
    <w:p>
      <w:pPr>
        <w:pStyle w:val="BodyText"/>
      </w:pPr>
      <w:r>
        <w:t xml:space="preserve">33. https://www.amazon.science/blog/building-trust-into-ai</w:t>
      </w:r>
    </w:p>
    <w:p>
      <w:pPr>
        <w:pStyle w:val="BodyText"/>
      </w:pPr>
      <w:r>
        <w:t xml:space="preserve">34. https://aws.amazon.com/es/blogs/machine-learning/governance-by-design-the-essential-guide-for-successful-ai-scaling/</w:t>
      </w:r>
    </w:p>
    <w:p>
      <w:pPr>
        <w:pStyle w:val="BodyText"/>
      </w:pPr>
      <w:r>
        <w:t xml:space="preserve">35. https://aws.amazon.com/blogs/publicsector/how-aws-skill-builder-is-powering-digital-skills-growth-across-european-institutions/</w:t>
      </w:r>
    </w:p>
    <w:p>
      <w:pPr>
        <w:pStyle w:val="BodyText"/>
      </w:pPr>
      <w:r>
        <w:t xml:space="preserve">36. https://aws.amazon.com/blogs/machine-learning/building-trust-in-ai-the-aws-approach-to-the-eu-ai-act/?trk=65d1f2ef-069f-4b14-8689-dcdb14440648</w:t>
      </w:r>
    </w:p>
    <w:p>
      <w:pPr>
        <w:pStyle w:val="BodyText"/>
      </w:pPr>
      <w:r>
        <w:t xml:space="preserve">37. https://grantthornton.com/insights/articles/advisory/2026/workforce-gaps-short-circuit-ai-at-emerging-enterprises</w:t>
      </w:r>
    </w:p>
    <w:p>
      <w:pPr>
        <w:pStyle w:val="BodyText"/>
      </w:pPr>
      <w:r>
        <w:t xml:space="preserve">38. https://www.mckinsey.com/capabilities/people-and-organizational-performance/our-insights/the-organization-blog/redefine-ai-upskilling-as-a-change-imperative</w:t>
      </w:r>
    </w:p>
    <w:p>
      <w:pPr>
        <w:pStyle w:val="BodyText"/>
      </w:pPr>
      <w:r>
        <w:t xml:space="preserve">39. https://www.mckinsey.com/uk/our-insights/uk-blog/the-new-productivity-paradox</w:t>
      </w:r>
    </w:p>
    <w:p>
      <w:pPr>
        <w:pStyle w:val="BodyText"/>
      </w:pPr>
      <w:r>
        <w:t xml:space="preserve">40. https://aws.amazon.com/prescriptive-guidance/accelerating-cloud-transformation/</w:t>
      </w:r>
    </w:p>
    <w:p>
      <w:pPr>
        <w:pStyle w:val="BodyText"/>
      </w:pPr>
      <w:r>
        <w:t xml:space="preserve">41. https://aws.amazon.com/it/training/digital-training-providers/</w:t>
      </w:r>
    </w:p>
    <w:p>
      <w:pPr>
        <w:pStyle w:val="BodyText"/>
      </w:pPr>
      <w:r>
        <w:t xml:space="preserve">42. https://aws.amazon.com/training/teams/enterprise-skills-transformation/skills-guild/</w:t>
      </w:r>
    </w:p>
    <w:p>
      <w:pPr>
        <w:pStyle w:val="BodyText"/>
      </w:pPr>
      <w:r>
        <w:t xml:space="preserve">43. https://www.aboutamazon.com/news/aws/aws-ai-certification-learning-tools-skills-development</w:t>
      </w:r>
    </w:p>
    <w:p>
      <w:pPr>
        <w:pStyle w:val="BodyText"/>
      </w:pPr>
      <w:r>
        <w:t xml:space="preserve">44. https://aws.amazon.com/blogs/apn/introducing-the-agentic-ai-technical-learning-plan-in-aws-skill-builder/</w:t>
      </w:r>
    </w:p>
    <w:p>
      <w:pPr>
        <w:pStyle w:val="BodyText"/>
      </w:pPr>
      <w:r>
        <w:t xml:space="preserve">45. https://aws.amazon.com/blogs/training-and-certification/mapping-your-ai-ml-career-journey/</w:t>
      </w:r>
    </w:p>
    <w:bookmarkEnd w:id="86"/>
    <w:bookmarkEnd w:id="87"/>
    <w:sectPr w:rsidR="003D7921" w:rsidSect="00835CC8">
      <w:headerReference r:id="rId11" w:type="default"/>
      <w:footerReference r:id="rId12" w:type="even"/>
      <w:footerReference r:id="rId13" w:type="default"/>
      <w:pgSz w:h="15840" w:w="12240"/>
      <w:pgMar w:bottom="288" w:footer="720" w:gutter="0" w:header="720" w:left="864" w:right="720" w:top="432"/>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3325953"/>
      <w:docPartObj>
        <w:docPartGallery w:val="Page Numbers (Bottom of Page)"/>
        <w:docPartUnique/>
      </w:docPartObj>
    </w:sdtPr>
    <w:sdtContent>
      <w:p w14:paraId="227713C7" w14:textId="6F1BF085"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081E17" w14:textId="77777777" w:rsidR="00BB2EA8" w:rsidRDefault="00BB2EA8" w:rsidP="00BB2E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2906973"/>
      <w:docPartObj>
        <w:docPartGallery w:val="Page Numbers (Bottom of Page)"/>
        <w:docPartUnique/>
      </w:docPartObj>
    </w:sdtPr>
    <w:sdtContent>
      <w:p w14:paraId="4C600947" w14:textId="6BAB33C4"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42CEFA1" w14:textId="2D72A7C2" w:rsidR="000C3AD8" w:rsidRDefault="005D48C7" w:rsidP="00BB2EA8">
    <w:pPr>
      <w:pStyle w:val="Footer"/>
      <w:ind w:right="360"/>
    </w:pPr>
    <w:r>
      <w:rPr>
        <w:noProof/>
      </w:rPr>
      <w:drawing>
        <wp:inline distT="0" distB="0" distL="0" distR="0" wp14:anchorId="4F106003" wp14:editId="3D0B921C">
          <wp:extent cx="91440" cy="91440"/>
          <wp:effectExtent l="0" t="0" r="0" b="0"/>
          <wp:docPr id="42521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2259"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1440" cy="91440"/>
                  </a:xfrm>
                  <a:prstGeom prst="rect">
                    <a:avLst/>
                  </a:prstGeom>
                </pic:spPr>
              </pic:pic>
            </a:graphicData>
          </a:graphic>
        </wp:inline>
      </w:drawing>
    </w:r>
    <w:r>
      <w:t xml:space="preserve"> </w:t>
    </w:r>
    <w:r w:rsidR="00BB2EA8" w:rsidRPr="00BB2EA8">
      <w:t xml:space="preserve">Created with Amazon </w:t>
    </w:r>
    <w:r w:rsidR="00675A5C">
      <w:t>Quick Research</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B2E8" w14:textId="370375F0" w:rsidR="000C3AD8" w:rsidRDefault="000C3AD8" w:rsidP="00BB6966">
    <w:pPr>
      <w:pStyle w:val="Header"/>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4427D"/>
    <w:multiLevelType w:val="hybridMultilevel"/>
    <w:tmpl w:val="0FD242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
    <w:nsid w:val="00992C24"/>
    <w:multiLevelType w:val="multilevel"/>
    <w:tmpl w:val="C5FA9BAE"/>
    <w:styleLink w:val="CurrentList1"/>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start w:val="1"/>
      <w:numFmt w:val="decimal"/>
      <w:lvlText w:val="%4."/>
      <w:lvlJc w:val="left"/>
      <w:pPr>
        <w:tabs>
          <w:tab w:pos="2880" w:val="num"/>
        </w:tabs>
        <w:ind w:hanging="360" w:left="2880"/>
      </w:pPr>
    </w:lvl>
    <w:lvl w:ilvl="4">
      <w:start w:val="1"/>
      <w:numFmt w:val="decimal"/>
      <w:lvlText w:val="%5."/>
      <w:lvlJc w:val="left"/>
      <w:pPr>
        <w:tabs>
          <w:tab w:pos="3600" w:val="num"/>
        </w:tabs>
        <w:ind w:hanging="360" w:left="3600"/>
      </w:pPr>
    </w:lvl>
    <w:lvl w:ilvl="5">
      <w:start w:val="1"/>
      <w:numFmt w:val="decimal"/>
      <w:lvlText w:val="%6."/>
      <w:lvlJc w:val="left"/>
      <w:pPr>
        <w:tabs>
          <w:tab w:pos="4320" w:val="num"/>
        </w:tabs>
        <w:ind w:hanging="360" w:left="4320"/>
      </w:pPr>
    </w:lvl>
    <w:lvl w:ilvl="6">
      <w:start w:val="1"/>
      <w:numFmt w:val="decimal"/>
      <w:lvlText w:val="%7."/>
      <w:lvlJc w:val="left"/>
      <w:pPr>
        <w:tabs>
          <w:tab w:pos="5040" w:val="num"/>
        </w:tabs>
        <w:ind w:hanging="360" w:left="5040"/>
      </w:pPr>
    </w:lvl>
    <w:lvl w:ilvl="7">
      <w:start w:val="1"/>
      <w:numFmt w:val="decimal"/>
      <w:lvlText w:val="%8."/>
      <w:lvlJc w:val="left"/>
      <w:pPr>
        <w:tabs>
          <w:tab w:pos="5760" w:val="num"/>
        </w:tabs>
        <w:ind w:hanging="360" w:left="5760"/>
      </w:pPr>
    </w:lvl>
    <w:lvl w:ilvl="8">
      <w:start w:val="1"/>
      <w:numFmt w:val="decimal"/>
      <w:lvlText w:val="%9."/>
      <w:lvlJc w:val="left"/>
      <w:pPr>
        <w:tabs>
          <w:tab w:pos="6480" w:val="num"/>
        </w:tabs>
        <w:ind w:hanging="360" w:left="6480"/>
      </w:pPr>
    </w:lvl>
  </w:abstractNum>
  <w:abstractNum w15:restartNumberingAfterBreak="0" w:abstractNumId="2">
    <w:nsid w:val="0165265C"/>
    <w:multiLevelType w:val="hybridMultilevel"/>
    <w:tmpl w:val="B3FE8E8C"/>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028028A5"/>
    <w:multiLevelType w:val="multilevel"/>
    <w:tmpl w:val="59102E54"/>
    <w:lvl w:ilvl="0">
      <w:start w:val="1"/>
      <w:numFmt w:val="decimal"/>
      <w:lvlText w:val="%1."/>
      <w:lvlJc w:val="left"/>
      <w:pPr>
        <w:ind w:hanging="360" w:left="360"/>
      </w:pPr>
      <w:rPr>
        <w:rFonts w:hint="default"/>
      </w:rPr>
    </w:lvl>
    <w:lvl w:ilvl="1">
      <w:start w:val="1"/>
      <w:numFmt w:val="decimal"/>
      <w:isLgl/>
      <w:lvlText w:val="%1.%2"/>
      <w:lvlJc w:val="left"/>
      <w:pPr>
        <w:ind w:hanging="360" w:left="360"/>
      </w:pPr>
      <w:rPr>
        <w:rFonts w:hint="default"/>
        <w:u w:val="none"/>
      </w:rPr>
    </w:lvl>
    <w:lvl w:ilvl="2">
      <w:start w:val="1"/>
      <w:numFmt w:val="decimal"/>
      <w:lvlText w:val="%3."/>
      <w:lvlJc w:val="left"/>
      <w:pPr>
        <w:ind w:hanging="360" w:left="360"/>
      </w:p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4">
    <w:nsid w:val="03BE44DF"/>
    <w:multiLevelType w:val="hybridMultilevel"/>
    <w:tmpl w:val="A86E2F5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058979FA"/>
    <w:multiLevelType w:val="hybridMultilevel"/>
    <w:tmpl w:val="668A4E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07061E82"/>
    <w:multiLevelType w:val="hybridMultilevel"/>
    <w:tmpl w:val="A516D4A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0A225FD9"/>
    <w:multiLevelType w:val="hybridMultilevel"/>
    <w:tmpl w:val="427C255E"/>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0A631809"/>
    <w:multiLevelType w:val="multilevel"/>
    <w:tmpl w:val="6B9EEB4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12E466AD"/>
    <w:multiLevelType w:val="hybridMultilevel"/>
    <w:tmpl w:val="888E551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164B745D"/>
    <w:multiLevelType w:val="multilevel"/>
    <w:tmpl w:val="E24ABEB6"/>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190B6293"/>
    <w:multiLevelType w:val="multilevel"/>
    <w:tmpl w:val="E9A892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194640AD"/>
    <w:multiLevelType w:val="multilevel"/>
    <w:tmpl w:val="BCBC1C8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1AD7657D"/>
    <w:multiLevelType w:val="hybridMultilevel"/>
    <w:tmpl w:val="75ACA3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21591353"/>
    <w:multiLevelType w:val="hybridMultilevel"/>
    <w:tmpl w:val="20BAD3D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272606B8"/>
    <w:multiLevelType w:val="multilevel"/>
    <w:tmpl w:val="5D725A4A"/>
    <w:lvl w:ilvl="0">
      <w:start w:val="1"/>
      <w:numFmt w:val="decimal"/>
      <w:pStyle w:val="Heading2"/>
      <w:lvlText w:val="%1."/>
      <w:lvlJc w:val="left"/>
      <w:pPr>
        <w:ind w:hanging="360" w:left="360"/>
      </w:pPr>
      <w:rPr>
        <w:rFonts w:hint="default"/>
      </w:rPr>
    </w:lvl>
    <w:lvl w:ilvl="1">
      <w:start w:val="1"/>
      <w:numFmt w:val="decimal"/>
      <w:pStyle w:val="Heading3"/>
      <w:isLgl/>
      <w:lvlText w:val="%1.%2"/>
      <w:lvlJc w:val="left"/>
      <w:pPr>
        <w:ind w:hanging="360" w:left="1530"/>
      </w:pPr>
      <w:rPr>
        <w:rFonts w:hint="default"/>
        <w:u w:val="none"/>
      </w:rPr>
    </w:lvl>
    <w:lvl w:ilvl="2">
      <w:start w:val="1"/>
      <w:numFmt w:val="decimal"/>
      <w:pStyle w:val="Heading4"/>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6">
    <w:nsid w:val="274674AF"/>
    <w:multiLevelType w:val="multilevel"/>
    <w:tmpl w:val="65D040F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2ACC218F"/>
    <w:multiLevelType w:val="hybridMultilevel"/>
    <w:tmpl w:val="41F2633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2DEB53CE"/>
    <w:multiLevelType w:val="multilevel"/>
    <w:tmpl w:val="96082A5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
    <w:nsid w:val="2E233C40"/>
    <w:multiLevelType w:val="multilevel"/>
    <w:tmpl w:val="5ABC433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3065516F"/>
    <w:multiLevelType w:val="multilevel"/>
    <w:tmpl w:val="8EB6567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339F1B70"/>
    <w:multiLevelType w:val="hybridMultilevel"/>
    <w:tmpl w:val="95DEDDE6"/>
    <w:lvl w:ilvl="0" w:tplc="04090019">
      <w:start w:val="1"/>
      <w:numFmt w:val="lowerLetter"/>
      <w:lvlText w:val="%1."/>
      <w:lvlJc w:val="lef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34391E56"/>
    <w:multiLevelType w:val="multilevel"/>
    <w:tmpl w:val="E410DF4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3">
    <w:nsid w:val="347D524C"/>
    <w:multiLevelType w:val="multilevel"/>
    <w:tmpl w:val="ED7A28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36C71D71"/>
    <w:multiLevelType w:val="multilevel"/>
    <w:tmpl w:val="77ACA0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3759052E"/>
    <w:multiLevelType w:val="multilevel"/>
    <w:tmpl w:val="E26E250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37631D88"/>
    <w:multiLevelType w:val="hybridMultilevel"/>
    <w:tmpl w:val="F8B283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27">
    <w:nsid w:val="39867EE8"/>
    <w:multiLevelType w:val="hybridMultilevel"/>
    <w:tmpl w:val="5B36BE3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8">
    <w:nsid w:val="3A162B3D"/>
    <w:multiLevelType w:val="hybridMultilevel"/>
    <w:tmpl w:val="80F2697E"/>
    <w:lvl w:ilvl="0" w:tplc="CB1CB04A">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A3C4B62"/>
    <w:multiLevelType w:val="multilevel"/>
    <w:tmpl w:val="8CBECE8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3A3E1B3B"/>
    <w:multiLevelType w:val="hybridMultilevel"/>
    <w:tmpl w:val="5E02F842"/>
    <w:lvl w:ilvl="0" w:tplc="6602D5F2">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1">
    <w:nsid w:val="3D0E7A38"/>
    <w:multiLevelType w:val="hybridMultilevel"/>
    <w:tmpl w:val="3C5038EC"/>
    <w:lvl w:ilvl="0" w:tplc="1DBC34D0">
      <w:start w:val="1"/>
      <w:numFmt w:val="decimal"/>
      <w:lvlText w:val="%1."/>
      <w:lvlJc w:val="left"/>
      <w:pPr>
        <w:ind w:hanging="360" w:left="360"/>
      </w:pPr>
      <w:rPr>
        <w:rFonts w:hint="default"/>
        <w:b/>
        <w:bCs/>
        <w:sz w:val="20"/>
        <w:szCs w:val="20"/>
      </w:rPr>
    </w:lvl>
    <w:lvl w:ilvl="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2">
    <w:nsid w:val="3D3C64D7"/>
    <w:multiLevelType w:val="multilevel"/>
    <w:tmpl w:val="9AD087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405835CD"/>
    <w:multiLevelType w:val="multilevel"/>
    <w:tmpl w:val="872064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425E42F0"/>
    <w:multiLevelType w:val="multilevel"/>
    <w:tmpl w:val="7D3271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4270090E"/>
    <w:multiLevelType w:val="hybridMultilevel"/>
    <w:tmpl w:val="01D800F4"/>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6">
    <w:nsid w:val="44AD52D7"/>
    <w:multiLevelType w:val="hybridMultilevel"/>
    <w:tmpl w:val="44B2EA2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7">
    <w:nsid w:val="461145B5"/>
    <w:multiLevelType w:val="hybridMultilevel"/>
    <w:tmpl w:val="DC4AA1B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8">
    <w:nsid w:val="46CD5AAB"/>
    <w:multiLevelType w:val="hybridMultilevel"/>
    <w:tmpl w:val="C8B45F8C"/>
    <w:lvl w:ilvl="0" w:tplc="04090001">
      <w:start w:val="1"/>
      <w:numFmt w:val="bullet"/>
      <w:lvlText w:val=""/>
      <w:lvlJc w:val="left"/>
      <w:pPr>
        <w:ind w:hanging="360" w:left="360"/>
      </w:pPr>
      <w:rPr>
        <w:rFonts w:ascii="Symbol" w:hAnsi="Symbol" w:hint="default"/>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9">
    <w:nsid w:val="47414D66"/>
    <w:multiLevelType w:val="multilevel"/>
    <w:tmpl w:val="FFBE9FF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0">
    <w:nsid w:val="48146340"/>
    <w:multiLevelType w:val="multilevel"/>
    <w:tmpl w:val="9E581C0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1">
    <w:nsid w:val="48B9122D"/>
    <w:multiLevelType w:val="multilevel"/>
    <w:tmpl w:val="F854530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2">
    <w:nsid w:val="4D476FC4"/>
    <w:multiLevelType w:val="multilevel"/>
    <w:tmpl w:val="1352B72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3">
    <w:nsid w:val="518E7D75"/>
    <w:multiLevelType w:val="multilevel"/>
    <w:tmpl w:val="9F90F03A"/>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4">
    <w:nsid w:val="52654656"/>
    <w:multiLevelType w:val="hybridMultilevel"/>
    <w:tmpl w:val="0684358E"/>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5">
    <w:nsid w:val="52A07CE6"/>
    <w:multiLevelType w:val="multilevel"/>
    <w:tmpl w:val="A9E8C4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6">
    <w:nsid w:val="588123D6"/>
    <w:multiLevelType w:val="hybridMultilevel"/>
    <w:tmpl w:val="E7CAB2D4"/>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7">
    <w:nsid w:val="5A12266E"/>
    <w:multiLevelType w:val="multilevel"/>
    <w:tmpl w:val="F18C1FF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8">
    <w:nsid w:val="5EF938E8"/>
    <w:multiLevelType w:val="hybridMultilevel"/>
    <w:tmpl w:val="DDA22DA0"/>
    <w:lvl w:ilvl="0" w:tplc="0409000F">
      <w:start w:val="1"/>
      <w:numFmt w:val="decimal"/>
      <w:lvlText w:val="%1."/>
      <w:lvlJc w:val="left"/>
      <w:pPr>
        <w:ind w:hanging="360" w:left="720"/>
      </w:pPr>
      <w:rPr>
        <w:rFonts w:hint="default"/>
      </w:rPr>
    </w:lvl>
    <w:lvl w:ilvl="1" w:tplc="04090017">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61B52155"/>
    <w:multiLevelType w:val="multilevel"/>
    <w:tmpl w:val="D4148E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0">
    <w:nsid w:val="622F77F4"/>
    <w:multiLevelType w:val="multilevel"/>
    <w:tmpl w:val="56C2BD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1">
    <w:nsid w:val="62385162"/>
    <w:multiLevelType w:val="multilevel"/>
    <w:tmpl w:val="218C5A20"/>
    <w:lvl w:ilvl="0">
      <w:start w:val="1"/>
      <w:numFmt w:val="decimal"/>
      <w:lvlText w:val="%1."/>
      <w:lvlJc w:val="left"/>
      <w:pPr>
        <w:tabs>
          <w:tab w:pos="720" w:val="num"/>
        </w:tabs>
        <w:ind w:hanging="360" w:left="720"/>
      </w:pPr>
      <w:rPr>
        <w:rFonts w:hint="default"/>
      </w:rPr>
    </w:lvl>
    <w:lvl w:ilvl="1">
      <w:start w:val="1"/>
      <w:numFmt w:val="lowerLetter"/>
      <w:lvlText w:val="%2."/>
      <w:lvlJc w:val="left"/>
      <w:pPr>
        <w:ind w:hanging="360" w:left="1440"/>
      </w:pPr>
      <w:rPr>
        <w:rFonts w:hint="default"/>
      </w:rPr>
    </w:lvl>
    <w:lvl w:ilvl="2">
      <w:start w:val="1"/>
      <w:numFmt w:val="decimal"/>
      <w:lvlText w:val="%3."/>
      <w:lvlJc w:val="left"/>
      <w:pPr>
        <w:tabs>
          <w:tab w:pos="2160" w:val="num"/>
        </w:tabs>
        <w:ind w:hanging="360" w:left="2160"/>
      </w:pPr>
      <w:rPr>
        <w:rFonts w:hint="default"/>
      </w:rPr>
    </w:lvl>
    <w:lvl w:ilvl="3">
      <w:start w:val="1"/>
      <w:numFmt w:val="decimal"/>
      <w:lvlText w:val="%4."/>
      <w:lvlJc w:val="left"/>
      <w:pPr>
        <w:tabs>
          <w:tab w:pos="2880" w:val="num"/>
        </w:tabs>
        <w:ind w:hanging="360" w:left="2880"/>
      </w:pPr>
      <w:rPr>
        <w:rFonts w:hint="default"/>
      </w:rPr>
    </w:lvl>
    <w:lvl w:ilvl="4">
      <w:start w:val="1"/>
      <w:numFmt w:val="decimal"/>
      <w:lvlText w:val="%5."/>
      <w:lvlJc w:val="left"/>
      <w:pPr>
        <w:tabs>
          <w:tab w:pos="3600" w:val="num"/>
        </w:tabs>
        <w:ind w:hanging="360" w:left="3600"/>
      </w:pPr>
      <w:rPr>
        <w:rFonts w:hint="default"/>
      </w:rPr>
    </w:lvl>
    <w:lvl w:ilvl="5">
      <w:start w:val="1"/>
      <w:numFmt w:val="decimal"/>
      <w:lvlText w:val="%6."/>
      <w:lvlJc w:val="left"/>
      <w:pPr>
        <w:tabs>
          <w:tab w:pos="4320" w:val="num"/>
        </w:tabs>
        <w:ind w:hanging="360" w:left="4320"/>
      </w:pPr>
      <w:rPr>
        <w:rFonts w:hint="default"/>
      </w:rPr>
    </w:lvl>
    <w:lvl w:ilvl="6">
      <w:start w:val="1"/>
      <w:numFmt w:val="decimal"/>
      <w:lvlText w:val="%7."/>
      <w:lvlJc w:val="left"/>
      <w:pPr>
        <w:tabs>
          <w:tab w:pos="5040" w:val="num"/>
        </w:tabs>
        <w:ind w:hanging="360" w:left="5040"/>
      </w:pPr>
      <w:rPr>
        <w:rFonts w:hint="default"/>
      </w:rPr>
    </w:lvl>
    <w:lvl w:ilvl="7">
      <w:start w:val="1"/>
      <w:numFmt w:val="decimal"/>
      <w:lvlText w:val="%8."/>
      <w:lvlJc w:val="left"/>
      <w:pPr>
        <w:tabs>
          <w:tab w:pos="5760" w:val="num"/>
        </w:tabs>
        <w:ind w:hanging="360" w:left="5760"/>
      </w:pPr>
      <w:rPr>
        <w:rFonts w:hint="default"/>
      </w:rPr>
    </w:lvl>
    <w:lvl w:ilvl="8">
      <w:start w:val="1"/>
      <w:numFmt w:val="decimal"/>
      <w:lvlText w:val="%9."/>
      <w:lvlJc w:val="left"/>
      <w:pPr>
        <w:tabs>
          <w:tab w:pos="6480" w:val="num"/>
        </w:tabs>
        <w:ind w:hanging="360" w:left="6480"/>
      </w:pPr>
      <w:rPr>
        <w:rFonts w:hint="default"/>
      </w:rPr>
    </w:lvl>
  </w:abstractNum>
  <w:abstractNum w15:restartNumberingAfterBreak="0" w:abstractNumId="52">
    <w:nsid w:val="638E0818"/>
    <w:multiLevelType w:val="multilevel"/>
    <w:tmpl w:val="87400CB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3">
    <w:nsid w:val="663C6669"/>
    <w:multiLevelType w:val="multilevel"/>
    <w:tmpl w:val="310E4EA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4">
    <w:nsid w:val="6E8E16D9"/>
    <w:multiLevelType w:val="multilevel"/>
    <w:tmpl w:val="78408FA0"/>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5">
    <w:nsid w:val="725332EC"/>
    <w:multiLevelType w:val="hybridMultilevel"/>
    <w:tmpl w:val="71E6F55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6">
    <w:nsid w:val="75C546CE"/>
    <w:multiLevelType w:val="multilevel"/>
    <w:tmpl w:val="34A27D3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7">
    <w:nsid w:val="7A1D7E36"/>
    <w:multiLevelType w:val="multilevel"/>
    <w:tmpl w:val="83F4907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8">
    <w:nsid w:val="7B2F1B7B"/>
    <w:multiLevelType w:val="hybridMultilevel"/>
    <w:tmpl w:val="2A80B47E"/>
    <w:lvl w:ilvl="0" w:tplc="9F40C542">
      <w:start w:val="1"/>
      <w:numFmt w:val="decimal"/>
      <w:lvlText w:val="%1."/>
      <w:lvlJc w:val="left"/>
      <w:pPr>
        <w:ind w:hanging="360" w:left="720"/>
      </w:pPr>
      <w:rPr>
        <w:rFonts w:hint="default"/>
        <w:sz w:val="16"/>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9260910" w:numId="1">
    <w:abstractNumId w:val="31"/>
  </w:num>
  <w:num w16cid:durableId="1898854438" w:numId="2">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83930945" w:numId="3">
    <w:abstractNumId w:val="41"/>
  </w:num>
  <w:num w16cid:durableId="875117576" w:numId="4">
    <w:abstractNumId w:val="54"/>
  </w:num>
  <w:num w16cid:durableId="11688274" w:numId="5">
    <w:abstractNumId w:val="17"/>
  </w:num>
  <w:num w16cid:durableId="34090417" w:numId="6">
    <w:abstractNumId w:val="48"/>
  </w:num>
  <w:num w16cid:durableId="1744520403" w:numId="7">
    <w:abstractNumId w:val="36"/>
  </w:num>
  <w:num w16cid:durableId="205155" w:numId="8">
    <w:abstractNumId w:val="9"/>
  </w:num>
  <w:num w16cid:durableId="756175423" w:numId="9">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18404090" w:numId="10">
    <w:abstractNumId w:val="27"/>
  </w:num>
  <w:num w16cid:durableId="1833253290" w:numId="11">
    <w:abstractNumId w:val="4"/>
  </w:num>
  <w:num w16cid:durableId="960037517" w:numId="12">
    <w:abstractNumId w:val="58"/>
  </w:num>
  <w:num w16cid:durableId="388917613" w:numId="13">
    <w:abstractNumId w:val="6"/>
  </w:num>
  <w:num w16cid:durableId="1009482564" w:numId="14">
    <w:abstractNumId w:val="25"/>
  </w:num>
  <w:num w16cid:durableId="375006923" w:numId="15">
    <w:abstractNumId w:val="35"/>
  </w:num>
  <w:num w16cid:durableId="659768776" w:numId="16">
    <w:abstractNumId w:val="53"/>
  </w:num>
  <w:num w16cid:durableId="1016923804" w:numId="17">
    <w:abstractNumId w:val="0"/>
  </w:num>
  <w:num w16cid:durableId="1363088212" w:numId="18">
    <w:abstractNumId w:val="38"/>
  </w:num>
  <w:num w16cid:durableId="732969580" w:numId="19">
    <w:abstractNumId w:val="42"/>
  </w:num>
  <w:num w16cid:durableId="476073157" w:numId="20">
    <w:abstractNumId w:val="26"/>
  </w:num>
  <w:num w16cid:durableId="736124588" w:numId="21">
    <w:abstractNumId w:val="22"/>
  </w:num>
  <w:num w16cid:durableId="2128962647" w:numId="22">
    <w:abstractNumId w:val="52"/>
  </w:num>
  <w:num w16cid:durableId="896865266" w:numId="23">
    <w:abstractNumId w:val="57"/>
  </w:num>
  <w:num w16cid:durableId="1479148198" w:numId="24">
    <w:abstractNumId w:val="33"/>
  </w:num>
  <w:num w16cid:durableId="478115821" w:numId="25">
    <w:abstractNumId w:val="34"/>
  </w:num>
  <w:num w16cid:durableId="139924131" w:numId="26">
    <w:abstractNumId w:val="18"/>
  </w:num>
  <w:num w16cid:durableId="1465807580" w:numId="27">
    <w:abstractNumId w:val="29"/>
  </w:num>
  <w:num w16cid:durableId="2126460730" w:numId="28">
    <w:abstractNumId w:val="55"/>
  </w:num>
  <w:num w16cid:durableId="721488276" w:numId="29">
    <w:abstractNumId w:val="30"/>
  </w:num>
  <w:num w16cid:durableId="1265772688" w:numId="30">
    <w:abstractNumId w:val="28"/>
  </w:num>
  <w:num w16cid:durableId="404649400" w:numId="31">
    <w:abstractNumId w:val="15"/>
  </w:num>
  <w:num w16cid:durableId="970671377" w:numId="32">
    <w:abstractNumId w:val="7"/>
  </w:num>
  <w:num w16cid:durableId="505291152" w:numId="33">
    <w:abstractNumId w:val="46"/>
  </w:num>
  <w:num w16cid:durableId="317462343" w:numId="34">
    <w:abstractNumId w:val="32"/>
  </w:num>
  <w:num w16cid:durableId="1820413325" w:numId="35">
    <w:abstractNumId w:val="44"/>
  </w:num>
  <w:num w16cid:durableId="2131435792" w:numId="36">
    <w:abstractNumId w:val="47"/>
  </w:num>
  <w:num w16cid:durableId="2102020668" w:numId="37">
    <w:abstractNumId w:val="3"/>
  </w:num>
  <w:num w16cid:durableId="2076777457" w:numId="38">
    <w:abstractNumId w:val="19"/>
  </w:num>
  <w:num w16cid:durableId="252010957" w:numId="39">
    <w:abstractNumId w:val="19"/>
    <w:lvlOverride w:ilvl="1">
      <w:lvl w:ilvl="1">
        <w:numFmt w:val="lowerLetter"/>
        <w:lvlText w:val="%2."/>
        <w:lvlJc w:val="left"/>
      </w:lvl>
    </w:lvlOverride>
  </w:num>
  <w:num w16cid:durableId="1486822852" w:numId="40">
    <w:abstractNumId w:val="19"/>
    <w:lvlOverride w:ilvl="1">
      <w:lvl w:ilvl="1">
        <w:numFmt w:val="lowerLetter"/>
        <w:lvlText w:val="%2."/>
        <w:lvlJc w:val="left"/>
      </w:lvl>
    </w:lvlOverride>
  </w:num>
  <w:num w16cid:durableId="1970738953" w:numId="41">
    <w:abstractNumId w:val="19"/>
    <w:lvlOverride w:ilvl="1">
      <w:lvl w:ilvl="1">
        <w:numFmt w:val="lowerLetter"/>
        <w:lvlText w:val="%2."/>
        <w:lvlJc w:val="left"/>
      </w:lvl>
    </w:lvlOverride>
  </w:num>
  <w:num w16cid:durableId="1971402343" w:numId="42">
    <w:abstractNumId w:val="19"/>
    <w:lvlOverride w:ilvl="1">
      <w:lvl w:ilvl="1">
        <w:numFmt w:val="lowerLetter"/>
        <w:lvlText w:val="%2."/>
        <w:lvlJc w:val="left"/>
      </w:lvl>
    </w:lvlOverride>
  </w:num>
  <w:num w16cid:durableId="1570725457" w:numId="43">
    <w:abstractNumId w:val="19"/>
    <w:lvlOverride w:ilvl="1">
      <w:lvl w:ilvl="1">
        <w:numFmt w:val="lowerLetter"/>
        <w:lvlText w:val="%2."/>
        <w:lvlJc w:val="left"/>
      </w:lvl>
    </w:lvlOverride>
  </w:num>
  <w:num w16cid:durableId="1332951539" w:numId="44">
    <w:abstractNumId w:val="19"/>
    <w:lvlOverride w:ilvl="1">
      <w:lvl w:ilvl="1">
        <w:numFmt w:val="lowerLetter"/>
        <w:lvlText w:val="%2."/>
        <w:lvlJc w:val="left"/>
      </w:lvl>
    </w:lvlOverride>
  </w:num>
  <w:num w16cid:durableId="1403485377" w:numId="45">
    <w:abstractNumId w:val="19"/>
    <w:lvlOverride w:ilvl="1">
      <w:lvl w:ilvl="1">
        <w:numFmt w:val="lowerLetter"/>
        <w:lvlText w:val="%2."/>
        <w:lvlJc w:val="left"/>
      </w:lvl>
    </w:lvlOverride>
  </w:num>
  <w:num w16cid:durableId="1300307869" w:numId="46">
    <w:abstractNumId w:val="19"/>
    <w:lvlOverride w:ilvl="1">
      <w:lvl w:ilvl="1">
        <w:numFmt w:val="lowerLetter"/>
        <w:lvlText w:val="%2."/>
        <w:lvlJc w:val="left"/>
      </w:lvl>
    </w:lvlOverride>
  </w:num>
  <w:num w16cid:durableId="774596549" w:numId="47">
    <w:abstractNumId w:val="24"/>
  </w:num>
  <w:num w16cid:durableId="1129779288" w:numId="48">
    <w:abstractNumId w:val="23"/>
  </w:num>
  <w:num w16cid:durableId="1477458177" w:numId="49">
    <w:abstractNumId w:val="14"/>
  </w:num>
  <w:num w16cid:durableId="1664820174" w:numId="50">
    <w:abstractNumId w:val="10"/>
    <w:lvlOverride w:ilvl="1">
      <w:lvl w:ilvl="1">
        <w:numFmt w:val="lowerLetter"/>
        <w:lvlText w:val="%2."/>
        <w:lvlJc w:val="left"/>
      </w:lvl>
    </w:lvlOverride>
  </w:num>
  <w:num w16cid:durableId="589387261" w:numId="51">
    <w:abstractNumId w:val="10"/>
    <w:lvlOverride w:ilvl="2">
      <w:lvl w:ilvl="2">
        <w:numFmt w:val="lowerRoman"/>
        <w:lvlText w:val="%3."/>
        <w:lvlJc w:val="right"/>
      </w:lvl>
    </w:lvlOverride>
  </w:num>
  <w:num w16cid:durableId="1304965973" w:numId="52">
    <w:abstractNumId w:val="10"/>
    <w:lvlOverride w:ilvl="2">
      <w:lvl w:ilvl="2">
        <w:numFmt w:val="lowerRoman"/>
        <w:lvlText w:val="%3."/>
        <w:lvlJc w:val="right"/>
      </w:lvl>
    </w:lvlOverride>
  </w:num>
  <w:num w16cid:durableId="196352652" w:numId="53">
    <w:abstractNumId w:val="10"/>
    <w:lvlOverride w:ilvl="1">
      <w:lvl w:ilvl="1">
        <w:numFmt w:val="lowerLetter"/>
        <w:lvlText w:val="%2."/>
        <w:lvlJc w:val="left"/>
      </w:lvl>
    </w:lvlOverride>
  </w:num>
  <w:num w16cid:durableId="1902476975" w:numId="54">
    <w:abstractNumId w:val="10"/>
    <w:lvlOverride w:ilvl="2">
      <w:lvl w:ilvl="2">
        <w:numFmt w:val="lowerRoman"/>
        <w:lvlText w:val="%3."/>
        <w:lvlJc w:val="right"/>
      </w:lvl>
    </w:lvlOverride>
  </w:num>
  <w:num w16cid:durableId="983898822" w:numId="55">
    <w:abstractNumId w:val="10"/>
    <w:lvlOverride w:ilvl="2">
      <w:lvl w:ilvl="2">
        <w:numFmt w:val="lowerRoman"/>
        <w:lvlText w:val="%3."/>
        <w:lvlJc w:val="right"/>
      </w:lvl>
    </w:lvlOverride>
  </w:num>
  <w:num w16cid:durableId="481772598" w:numId="56">
    <w:abstractNumId w:val="10"/>
    <w:lvlOverride w:ilvl="1">
      <w:lvl w:ilvl="1">
        <w:numFmt w:val="lowerLetter"/>
        <w:lvlText w:val="%2."/>
        <w:lvlJc w:val="left"/>
      </w:lvl>
    </w:lvlOverride>
  </w:num>
  <w:num w16cid:durableId="633369780" w:numId="57">
    <w:abstractNumId w:val="10"/>
    <w:lvlOverride w:ilvl="2">
      <w:lvl w:ilvl="2">
        <w:numFmt w:val="lowerRoman"/>
        <w:lvlText w:val="%3."/>
        <w:lvlJc w:val="right"/>
      </w:lvl>
    </w:lvlOverride>
  </w:num>
  <w:num w16cid:durableId="1122190906" w:numId="58">
    <w:abstractNumId w:val="10"/>
    <w:lvlOverride w:ilvl="2">
      <w:lvl w:ilvl="2">
        <w:numFmt w:val="lowerRoman"/>
        <w:lvlText w:val="%3."/>
        <w:lvlJc w:val="right"/>
      </w:lvl>
    </w:lvlOverride>
  </w:num>
  <w:num w16cid:durableId="680622930" w:numId="59">
    <w:abstractNumId w:val="10"/>
    <w:lvlOverride w:ilvl="1">
      <w:lvl w:ilvl="1">
        <w:numFmt w:val="lowerLetter"/>
        <w:lvlText w:val="%2."/>
        <w:lvlJc w:val="left"/>
      </w:lvl>
    </w:lvlOverride>
  </w:num>
  <w:num w16cid:durableId="844127668" w:numId="60">
    <w:abstractNumId w:val="10"/>
    <w:lvlOverride w:ilvl="2">
      <w:lvl w:ilvl="2">
        <w:numFmt w:val="lowerRoman"/>
        <w:lvlText w:val="%3."/>
        <w:lvlJc w:val="right"/>
      </w:lvl>
    </w:lvlOverride>
  </w:num>
  <w:num w16cid:durableId="1912351273" w:numId="61">
    <w:abstractNumId w:val="10"/>
    <w:lvlOverride w:ilvl="2">
      <w:lvl w:ilvl="2">
        <w:numFmt w:val="lowerRoman"/>
        <w:lvlText w:val="%3."/>
        <w:lvlJc w:val="right"/>
      </w:lvl>
    </w:lvlOverride>
  </w:num>
  <w:num w16cid:durableId="1368868211" w:numId="62">
    <w:abstractNumId w:val="10"/>
    <w:lvlOverride w:ilvl="1">
      <w:lvl w:ilvl="1">
        <w:numFmt w:val="lowerLetter"/>
        <w:lvlText w:val="%2."/>
        <w:lvlJc w:val="left"/>
      </w:lvl>
    </w:lvlOverride>
  </w:num>
  <w:num w16cid:durableId="805123822" w:numId="63">
    <w:abstractNumId w:val="10"/>
    <w:lvlOverride w:ilvl="2">
      <w:lvl w:ilvl="2">
        <w:numFmt w:val="lowerRoman"/>
        <w:lvlText w:val="%3."/>
        <w:lvlJc w:val="right"/>
      </w:lvl>
    </w:lvlOverride>
  </w:num>
  <w:num w16cid:durableId="1899514384" w:numId="64">
    <w:abstractNumId w:val="10"/>
    <w:lvlOverride w:ilvl="2">
      <w:lvl w:ilvl="2">
        <w:numFmt w:val="lowerRoman"/>
        <w:lvlText w:val="%3."/>
        <w:lvlJc w:val="right"/>
      </w:lvl>
    </w:lvlOverride>
  </w:num>
  <w:num w16cid:durableId="1146432342" w:numId="65">
    <w:abstractNumId w:val="21"/>
  </w:num>
  <w:num w16cid:durableId="223418725" w:numId="66">
    <w:abstractNumId w:val="16"/>
  </w:num>
  <w:num w16cid:durableId="698360265" w:numId="67">
    <w:abstractNumId w:val="56"/>
  </w:num>
  <w:num w16cid:durableId="964118660" w:numId="68">
    <w:abstractNumId w:val="50"/>
  </w:num>
  <w:num w16cid:durableId="2041280735" w:numId="69">
    <w:abstractNumId w:val="51"/>
  </w:num>
  <w:num w16cid:durableId="552429114" w:numId="70">
    <w:abstractNumId w:val="51"/>
    <w:lvlOverride w:ilvl="1">
      <w:lvl w:ilvl="1">
        <w:numFmt w:val="lowerLetter"/>
        <w:lvlText w:val="%2."/>
        <w:lvlJc w:val="left"/>
      </w:lvl>
    </w:lvlOverride>
  </w:num>
  <w:num w16cid:durableId="1819609845" w:numId="71">
    <w:abstractNumId w:val="51"/>
    <w:lvlOverride w:ilvl="1">
      <w:lvl w:ilvl="1">
        <w:numFmt w:val="lowerLetter"/>
        <w:lvlText w:val="%2."/>
        <w:lvlJc w:val="left"/>
      </w:lvl>
    </w:lvlOverride>
  </w:num>
  <w:num w16cid:durableId="687874919" w:numId="72">
    <w:abstractNumId w:val="1"/>
  </w:num>
  <w:num w16cid:durableId="695734828" w:numId="73">
    <w:abstractNumId w:val="45"/>
  </w:num>
  <w:num w16cid:durableId="699627508" w:numId="74">
    <w:abstractNumId w:val="39"/>
  </w:num>
  <w:num w16cid:durableId="1461875198" w:numId="75">
    <w:abstractNumId w:val="11"/>
  </w:num>
  <w:num w16cid:durableId="1613705027" w:numId="76">
    <w:abstractNumId w:val="49"/>
  </w:num>
  <w:num w16cid:durableId="1307928962" w:numId="77">
    <w:abstractNumId w:val="8"/>
  </w:num>
  <w:num w16cid:durableId="1379235714" w:numId="78">
    <w:abstractNumId w:val="13"/>
  </w:num>
  <w:num w16cid:durableId="1930041232" w:numId="79">
    <w:abstractNumId w:val="20"/>
  </w:num>
  <w:num w16cid:durableId="1747459186" w:numId="80">
    <w:abstractNumId w:val="2"/>
  </w:num>
  <w:num w16cid:durableId="1291789105" w:numId="81">
    <w:abstractNumId w:val="43"/>
    <w:lvlOverride w:ilvl="1">
      <w:lvl w:ilvl="1">
        <w:numFmt w:val="lowerLetter"/>
        <w:lvlText w:val="%2."/>
        <w:lvlJc w:val="left"/>
      </w:lvl>
    </w:lvlOverride>
  </w:num>
  <w:num w16cid:durableId="1435057995" w:numId="82">
    <w:abstractNumId w:val="43"/>
    <w:lvlOverride w:ilvl="1">
      <w:lvl w:ilvl="1">
        <w:numFmt w:val="lowerLetter"/>
        <w:lvlText w:val="%2."/>
        <w:lvlJc w:val="left"/>
      </w:lvl>
    </w:lvlOverride>
  </w:num>
  <w:num w16cid:durableId="1331130316" w:numId="83">
    <w:abstractNumId w:val="43"/>
    <w:lvlOverride w:ilvl="1">
      <w:lvl w:ilvl="1">
        <w:numFmt w:val="lowerLetter"/>
        <w:lvlText w:val="%2."/>
        <w:lvlJc w:val="left"/>
      </w:lvl>
    </w:lvlOverride>
  </w:num>
  <w:num w16cid:durableId="588848893" w:numId="84">
    <w:abstractNumId w:val="43"/>
    <w:lvlOverride w:ilvl="1">
      <w:lvl w:ilvl="1">
        <w:numFmt w:val="lowerLetter"/>
        <w:lvlText w:val="%2."/>
        <w:lvlJc w:val="left"/>
      </w:lvl>
    </w:lvlOverride>
  </w:num>
  <w:num w16cid:durableId="2082945453" w:numId="85">
    <w:abstractNumId w:val="43"/>
    <w:lvlOverride w:ilvl="1">
      <w:lvl w:ilvl="1">
        <w:numFmt w:val="lowerLetter"/>
        <w:lvlText w:val="%2."/>
        <w:lvlJc w:val="left"/>
      </w:lvl>
    </w:lvlOverride>
  </w:num>
  <w:num w16cid:durableId="2085957352" w:numId="86">
    <w:abstractNumId w:val="43"/>
    <w:lvlOverride w:ilvl="1">
      <w:lvl w:ilvl="1">
        <w:numFmt w:val="lowerLetter"/>
        <w:lvlText w:val="%2."/>
        <w:lvlJc w:val="left"/>
      </w:lvl>
    </w:lvlOverride>
  </w:num>
  <w:num w16cid:durableId="566303695" w:numId="87">
    <w:abstractNumId w:val="5"/>
  </w:num>
  <w:num w16cid:durableId="334498893" w:numId="88">
    <w:abstractNumId w:val="40"/>
  </w:num>
  <w:num w16cid:durableId="1365255989" w:numId="89">
    <w:abstractNumId w:val="3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439"/>
  <w:embedSystemFonts/>
  <w:proofState w:grammar="clean" w:spelling="clean"/>
  <w:stylePaneFormatFilter w:val="0004"/>
  <w:doNotTrackMoves/>
  <w:defaultTabStop w:val="720"/>
  <w:defaultTableStyle w:val="TableGrid"/>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E2"/>
    <w:rsid w:val="000000C1"/>
    <w:rsid w:val="0000093A"/>
    <w:rsid w:val="000012F7"/>
    <w:rsid w:val="00003F06"/>
    <w:rsid w:val="00005396"/>
    <w:rsid w:val="000059F2"/>
    <w:rsid w:val="00010370"/>
    <w:rsid w:val="00010B7E"/>
    <w:rsid w:val="000155CA"/>
    <w:rsid w:val="000174B6"/>
    <w:rsid w:val="00020628"/>
    <w:rsid w:val="000209B2"/>
    <w:rsid w:val="00024E96"/>
    <w:rsid w:val="0002598B"/>
    <w:rsid w:val="00026700"/>
    <w:rsid w:val="00026741"/>
    <w:rsid w:val="00026DE2"/>
    <w:rsid w:val="00027413"/>
    <w:rsid w:val="00027474"/>
    <w:rsid w:val="00027A0D"/>
    <w:rsid w:val="000323CF"/>
    <w:rsid w:val="00033F22"/>
    <w:rsid w:val="0003561A"/>
    <w:rsid w:val="00035740"/>
    <w:rsid w:val="00036EA0"/>
    <w:rsid w:val="00036FF9"/>
    <w:rsid w:val="00040510"/>
    <w:rsid w:val="00040D9B"/>
    <w:rsid w:val="000424AF"/>
    <w:rsid w:val="00042730"/>
    <w:rsid w:val="00042951"/>
    <w:rsid w:val="00042B03"/>
    <w:rsid w:val="00042F4E"/>
    <w:rsid w:val="00046B06"/>
    <w:rsid w:val="00046B55"/>
    <w:rsid w:val="000506DC"/>
    <w:rsid w:val="00051699"/>
    <w:rsid w:val="00051A2D"/>
    <w:rsid w:val="00051C16"/>
    <w:rsid w:val="00053824"/>
    <w:rsid w:val="000558CF"/>
    <w:rsid w:val="00056135"/>
    <w:rsid w:val="00056701"/>
    <w:rsid w:val="00056B08"/>
    <w:rsid w:val="0005754E"/>
    <w:rsid w:val="00061659"/>
    <w:rsid w:val="00061A16"/>
    <w:rsid w:val="00062BBA"/>
    <w:rsid w:val="00064390"/>
    <w:rsid w:val="000651DB"/>
    <w:rsid w:val="00066244"/>
    <w:rsid w:val="00066E4B"/>
    <w:rsid w:val="00073405"/>
    <w:rsid w:val="00073407"/>
    <w:rsid w:val="00074D81"/>
    <w:rsid w:val="00075638"/>
    <w:rsid w:val="00077B0A"/>
    <w:rsid w:val="0008331F"/>
    <w:rsid w:val="0008501B"/>
    <w:rsid w:val="0008506C"/>
    <w:rsid w:val="00090F63"/>
    <w:rsid w:val="00091A67"/>
    <w:rsid w:val="00093AB3"/>
    <w:rsid w:val="00095920"/>
    <w:rsid w:val="00097C8B"/>
    <w:rsid w:val="000A1A11"/>
    <w:rsid w:val="000A50A1"/>
    <w:rsid w:val="000A5DF0"/>
    <w:rsid w:val="000A63EA"/>
    <w:rsid w:val="000A6498"/>
    <w:rsid w:val="000B003C"/>
    <w:rsid w:val="000B06DB"/>
    <w:rsid w:val="000B175B"/>
    <w:rsid w:val="000B189E"/>
    <w:rsid w:val="000B18DF"/>
    <w:rsid w:val="000B2340"/>
    <w:rsid w:val="000B2550"/>
    <w:rsid w:val="000B6E30"/>
    <w:rsid w:val="000C0BFD"/>
    <w:rsid w:val="000C0D0C"/>
    <w:rsid w:val="000C1047"/>
    <w:rsid w:val="000C3AD8"/>
    <w:rsid w:val="000C42C7"/>
    <w:rsid w:val="000C581F"/>
    <w:rsid w:val="000C5B38"/>
    <w:rsid w:val="000C5D3B"/>
    <w:rsid w:val="000C6841"/>
    <w:rsid w:val="000D0C67"/>
    <w:rsid w:val="000D29BC"/>
    <w:rsid w:val="000D4F17"/>
    <w:rsid w:val="000E085D"/>
    <w:rsid w:val="000E1B47"/>
    <w:rsid w:val="000E1F55"/>
    <w:rsid w:val="000E2E9D"/>
    <w:rsid w:val="000E4510"/>
    <w:rsid w:val="000E5F5F"/>
    <w:rsid w:val="000E678F"/>
    <w:rsid w:val="000E6C81"/>
    <w:rsid w:val="000F0A03"/>
    <w:rsid w:val="000F1D17"/>
    <w:rsid w:val="000F46BB"/>
    <w:rsid w:val="000F48F9"/>
    <w:rsid w:val="000F4C4B"/>
    <w:rsid w:val="000F563F"/>
    <w:rsid w:val="000F5C26"/>
    <w:rsid w:val="000F72E2"/>
    <w:rsid w:val="0010112C"/>
    <w:rsid w:val="0010159D"/>
    <w:rsid w:val="00101CD4"/>
    <w:rsid w:val="001030B7"/>
    <w:rsid w:val="00105C3B"/>
    <w:rsid w:val="00106679"/>
    <w:rsid w:val="00107070"/>
    <w:rsid w:val="00107D82"/>
    <w:rsid w:val="001130BA"/>
    <w:rsid w:val="00114A18"/>
    <w:rsid w:val="00114CC6"/>
    <w:rsid w:val="0011543D"/>
    <w:rsid w:val="001171A3"/>
    <w:rsid w:val="00117AE2"/>
    <w:rsid w:val="00117B6D"/>
    <w:rsid w:val="00120298"/>
    <w:rsid w:val="001216F7"/>
    <w:rsid w:val="00121A1B"/>
    <w:rsid w:val="00124B4A"/>
    <w:rsid w:val="00127016"/>
    <w:rsid w:val="0013130A"/>
    <w:rsid w:val="00132526"/>
    <w:rsid w:val="00133D74"/>
    <w:rsid w:val="00133EB3"/>
    <w:rsid w:val="00134EA6"/>
    <w:rsid w:val="00135122"/>
    <w:rsid w:val="00135435"/>
    <w:rsid w:val="0013563D"/>
    <w:rsid w:val="00136F4E"/>
    <w:rsid w:val="00137E02"/>
    <w:rsid w:val="001417A7"/>
    <w:rsid w:val="00141C76"/>
    <w:rsid w:val="00141E5B"/>
    <w:rsid w:val="00143FF2"/>
    <w:rsid w:val="00144002"/>
    <w:rsid w:val="00144853"/>
    <w:rsid w:val="0014618A"/>
    <w:rsid w:val="001468B6"/>
    <w:rsid w:val="0014709A"/>
    <w:rsid w:val="0015026E"/>
    <w:rsid w:val="001507DC"/>
    <w:rsid w:val="00150FAE"/>
    <w:rsid w:val="0015184E"/>
    <w:rsid w:val="0015307D"/>
    <w:rsid w:val="001544E9"/>
    <w:rsid w:val="0015450A"/>
    <w:rsid w:val="001564EB"/>
    <w:rsid w:val="001602D7"/>
    <w:rsid w:val="00161C43"/>
    <w:rsid w:val="001628A4"/>
    <w:rsid w:val="00162E83"/>
    <w:rsid w:val="00163247"/>
    <w:rsid w:val="00165337"/>
    <w:rsid w:val="00165913"/>
    <w:rsid w:val="001662F9"/>
    <w:rsid w:val="001704A5"/>
    <w:rsid w:val="00171B5C"/>
    <w:rsid w:val="00173093"/>
    <w:rsid w:val="001732EF"/>
    <w:rsid w:val="00175312"/>
    <w:rsid w:val="00176448"/>
    <w:rsid w:val="00176C54"/>
    <w:rsid w:val="00182106"/>
    <w:rsid w:val="00183C99"/>
    <w:rsid w:val="00183E16"/>
    <w:rsid w:val="00185361"/>
    <w:rsid w:val="00185FC9"/>
    <w:rsid w:val="00186197"/>
    <w:rsid w:val="00186906"/>
    <w:rsid w:val="00186E08"/>
    <w:rsid w:val="00190BBB"/>
    <w:rsid w:val="0019130E"/>
    <w:rsid w:val="00191609"/>
    <w:rsid w:val="00193191"/>
    <w:rsid w:val="0019383B"/>
    <w:rsid w:val="001938D0"/>
    <w:rsid w:val="00196ACD"/>
    <w:rsid w:val="00196B69"/>
    <w:rsid w:val="001A08E3"/>
    <w:rsid w:val="001A0B3F"/>
    <w:rsid w:val="001A0BE0"/>
    <w:rsid w:val="001A0F2D"/>
    <w:rsid w:val="001A17C4"/>
    <w:rsid w:val="001A2D59"/>
    <w:rsid w:val="001A31F4"/>
    <w:rsid w:val="001A7A1F"/>
    <w:rsid w:val="001B069F"/>
    <w:rsid w:val="001B11DF"/>
    <w:rsid w:val="001B252A"/>
    <w:rsid w:val="001B2F70"/>
    <w:rsid w:val="001B2F77"/>
    <w:rsid w:val="001B3704"/>
    <w:rsid w:val="001B4314"/>
    <w:rsid w:val="001B4BC9"/>
    <w:rsid w:val="001C17B2"/>
    <w:rsid w:val="001C1BE4"/>
    <w:rsid w:val="001C4BBB"/>
    <w:rsid w:val="001C71BF"/>
    <w:rsid w:val="001D051D"/>
    <w:rsid w:val="001D123A"/>
    <w:rsid w:val="001D3F84"/>
    <w:rsid w:val="001D409A"/>
    <w:rsid w:val="001D5A18"/>
    <w:rsid w:val="001D6F13"/>
    <w:rsid w:val="001D7896"/>
    <w:rsid w:val="001D7D98"/>
    <w:rsid w:val="001E1388"/>
    <w:rsid w:val="001E14C6"/>
    <w:rsid w:val="001E158E"/>
    <w:rsid w:val="001E2666"/>
    <w:rsid w:val="001E4995"/>
    <w:rsid w:val="001E4CD5"/>
    <w:rsid w:val="001F0941"/>
    <w:rsid w:val="001F5DE0"/>
    <w:rsid w:val="002023EE"/>
    <w:rsid w:val="00202FEF"/>
    <w:rsid w:val="00205133"/>
    <w:rsid w:val="00205E9E"/>
    <w:rsid w:val="00206A22"/>
    <w:rsid w:val="00207B37"/>
    <w:rsid w:val="00207CB7"/>
    <w:rsid w:val="00211C67"/>
    <w:rsid w:val="0021210E"/>
    <w:rsid w:val="00212B0E"/>
    <w:rsid w:val="00212B8D"/>
    <w:rsid w:val="00213775"/>
    <w:rsid w:val="00214335"/>
    <w:rsid w:val="00221558"/>
    <w:rsid w:val="002233F6"/>
    <w:rsid w:val="00223A22"/>
    <w:rsid w:val="00224827"/>
    <w:rsid w:val="00224A74"/>
    <w:rsid w:val="00225246"/>
    <w:rsid w:val="00231BD6"/>
    <w:rsid w:val="00231C6F"/>
    <w:rsid w:val="0023229A"/>
    <w:rsid w:val="002351FE"/>
    <w:rsid w:val="002363D5"/>
    <w:rsid w:val="00237D7E"/>
    <w:rsid w:val="00237EA4"/>
    <w:rsid w:val="002415BC"/>
    <w:rsid w:val="00241D52"/>
    <w:rsid w:val="002427EF"/>
    <w:rsid w:val="0024432B"/>
    <w:rsid w:val="002444FC"/>
    <w:rsid w:val="002444FE"/>
    <w:rsid w:val="00245C3B"/>
    <w:rsid w:val="002471D8"/>
    <w:rsid w:val="00247C2D"/>
    <w:rsid w:val="00251846"/>
    <w:rsid w:val="00251A0A"/>
    <w:rsid w:val="00251EB1"/>
    <w:rsid w:val="002525C1"/>
    <w:rsid w:val="00252AC6"/>
    <w:rsid w:val="00252BAB"/>
    <w:rsid w:val="00253649"/>
    <w:rsid w:val="00255739"/>
    <w:rsid w:val="00257C42"/>
    <w:rsid w:val="0026021B"/>
    <w:rsid w:val="00260BFA"/>
    <w:rsid w:val="002628E4"/>
    <w:rsid w:val="0026294E"/>
    <w:rsid w:val="00263966"/>
    <w:rsid w:val="00264B9B"/>
    <w:rsid w:val="0026613D"/>
    <w:rsid w:val="002745EF"/>
    <w:rsid w:val="00274883"/>
    <w:rsid w:val="00275330"/>
    <w:rsid w:val="002754DE"/>
    <w:rsid w:val="00281A58"/>
    <w:rsid w:val="0028309D"/>
    <w:rsid w:val="00284453"/>
    <w:rsid w:val="00284CEF"/>
    <w:rsid w:val="00285051"/>
    <w:rsid w:val="002854B6"/>
    <w:rsid w:val="00286BD9"/>
    <w:rsid w:val="00287431"/>
    <w:rsid w:val="00290354"/>
    <w:rsid w:val="00290849"/>
    <w:rsid w:val="002909B1"/>
    <w:rsid w:val="002909FD"/>
    <w:rsid w:val="00291D5E"/>
    <w:rsid w:val="00292BCD"/>
    <w:rsid w:val="00293828"/>
    <w:rsid w:val="002947C0"/>
    <w:rsid w:val="002949E5"/>
    <w:rsid w:val="00294DB7"/>
    <w:rsid w:val="00295A96"/>
    <w:rsid w:val="002A1DA5"/>
    <w:rsid w:val="002A3301"/>
    <w:rsid w:val="002A3774"/>
    <w:rsid w:val="002A3E8B"/>
    <w:rsid w:val="002A4E36"/>
    <w:rsid w:val="002A5B95"/>
    <w:rsid w:val="002A7837"/>
    <w:rsid w:val="002A7C91"/>
    <w:rsid w:val="002A7DFB"/>
    <w:rsid w:val="002B0006"/>
    <w:rsid w:val="002B0E0B"/>
    <w:rsid w:val="002B3E41"/>
    <w:rsid w:val="002B4A3B"/>
    <w:rsid w:val="002B6FE8"/>
    <w:rsid w:val="002B7A9F"/>
    <w:rsid w:val="002C0933"/>
    <w:rsid w:val="002C36B1"/>
    <w:rsid w:val="002C47A3"/>
    <w:rsid w:val="002C57B6"/>
    <w:rsid w:val="002C63EC"/>
    <w:rsid w:val="002C6907"/>
    <w:rsid w:val="002C7FF7"/>
    <w:rsid w:val="002D1009"/>
    <w:rsid w:val="002D1E4F"/>
    <w:rsid w:val="002D2787"/>
    <w:rsid w:val="002D342A"/>
    <w:rsid w:val="002D3836"/>
    <w:rsid w:val="002D5386"/>
    <w:rsid w:val="002D6334"/>
    <w:rsid w:val="002D78E2"/>
    <w:rsid w:val="002E1C89"/>
    <w:rsid w:val="002E284F"/>
    <w:rsid w:val="002E2F41"/>
    <w:rsid w:val="002E376F"/>
    <w:rsid w:val="002E627C"/>
    <w:rsid w:val="002E673A"/>
    <w:rsid w:val="002F0EF5"/>
    <w:rsid w:val="002F2000"/>
    <w:rsid w:val="002F202A"/>
    <w:rsid w:val="002F52CD"/>
    <w:rsid w:val="002F54B2"/>
    <w:rsid w:val="002F5D17"/>
    <w:rsid w:val="002F6394"/>
    <w:rsid w:val="00300359"/>
    <w:rsid w:val="00301D9D"/>
    <w:rsid w:val="00301FAA"/>
    <w:rsid w:val="003058D7"/>
    <w:rsid w:val="00305B25"/>
    <w:rsid w:val="00306CBA"/>
    <w:rsid w:val="00307114"/>
    <w:rsid w:val="00307219"/>
    <w:rsid w:val="0031109D"/>
    <w:rsid w:val="0031130B"/>
    <w:rsid w:val="003113D3"/>
    <w:rsid w:val="00312BC1"/>
    <w:rsid w:val="00316B22"/>
    <w:rsid w:val="00324CF9"/>
    <w:rsid w:val="00325991"/>
    <w:rsid w:val="003264AF"/>
    <w:rsid w:val="00326B35"/>
    <w:rsid w:val="003271F2"/>
    <w:rsid w:val="0032723B"/>
    <w:rsid w:val="00331DC8"/>
    <w:rsid w:val="00333111"/>
    <w:rsid w:val="003338E1"/>
    <w:rsid w:val="00334E94"/>
    <w:rsid w:val="0033503B"/>
    <w:rsid w:val="00335113"/>
    <w:rsid w:val="00336F7E"/>
    <w:rsid w:val="003404B1"/>
    <w:rsid w:val="00340639"/>
    <w:rsid w:val="003407E0"/>
    <w:rsid w:val="003407F0"/>
    <w:rsid w:val="00340C69"/>
    <w:rsid w:val="00342DCB"/>
    <w:rsid w:val="003435E1"/>
    <w:rsid w:val="00343B11"/>
    <w:rsid w:val="00344E3D"/>
    <w:rsid w:val="003456C4"/>
    <w:rsid w:val="003476A2"/>
    <w:rsid w:val="003476BA"/>
    <w:rsid w:val="0035007B"/>
    <w:rsid w:val="003531C9"/>
    <w:rsid w:val="00353A9D"/>
    <w:rsid w:val="00355DEA"/>
    <w:rsid w:val="00356562"/>
    <w:rsid w:val="00357F82"/>
    <w:rsid w:val="003602C7"/>
    <w:rsid w:val="0036112B"/>
    <w:rsid w:val="00361DFF"/>
    <w:rsid w:val="00363115"/>
    <w:rsid w:val="00363EA9"/>
    <w:rsid w:val="00364EA2"/>
    <w:rsid w:val="0036614B"/>
    <w:rsid w:val="00366B50"/>
    <w:rsid w:val="003671B8"/>
    <w:rsid w:val="00371091"/>
    <w:rsid w:val="00374E87"/>
    <w:rsid w:val="00377020"/>
    <w:rsid w:val="003846D3"/>
    <w:rsid w:val="00384DE5"/>
    <w:rsid w:val="003870DC"/>
    <w:rsid w:val="003873B5"/>
    <w:rsid w:val="0038745D"/>
    <w:rsid w:val="00390454"/>
    <w:rsid w:val="0039070E"/>
    <w:rsid w:val="003913A1"/>
    <w:rsid w:val="00391EC5"/>
    <w:rsid w:val="00393B42"/>
    <w:rsid w:val="00397F3E"/>
    <w:rsid w:val="003A067C"/>
    <w:rsid w:val="003A304F"/>
    <w:rsid w:val="003A479F"/>
    <w:rsid w:val="003A6172"/>
    <w:rsid w:val="003A6AFD"/>
    <w:rsid w:val="003A6F40"/>
    <w:rsid w:val="003B1BFC"/>
    <w:rsid w:val="003B23DE"/>
    <w:rsid w:val="003B51BF"/>
    <w:rsid w:val="003B52E9"/>
    <w:rsid w:val="003B6369"/>
    <w:rsid w:val="003B6460"/>
    <w:rsid w:val="003B7239"/>
    <w:rsid w:val="003B7AB7"/>
    <w:rsid w:val="003B7EB4"/>
    <w:rsid w:val="003C160E"/>
    <w:rsid w:val="003C4CFA"/>
    <w:rsid w:val="003D2E84"/>
    <w:rsid w:val="003D3673"/>
    <w:rsid w:val="003D3DA0"/>
    <w:rsid w:val="003D42BD"/>
    <w:rsid w:val="003D7921"/>
    <w:rsid w:val="003E3465"/>
    <w:rsid w:val="003E400D"/>
    <w:rsid w:val="003E453A"/>
    <w:rsid w:val="003E5795"/>
    <w:rsid w:val="003E57A1"/>
    <w:rsid w:val="003E5FF3"/>
    <w:rsid w:val="003E6D67"/>
    <w:rsid w:val="003F2036"/>
    <w:rsid w:val="003F2DF9"/>
    <w:rsid w:val="003F4157"/>
    <w:rsid w:val="003F4A8D"/>
    <w:rsid w:val="003F4BCB"/>
    <w:rsid w:val="003F51CC"/>
    <w:rsid w:val="003F6DA3"/>
    <w:rsid w:val="003F7893"/>
    <w:rsid w:val="003F7ABD"/>
    <w:rsid w:val="004035FD"/>
    <w:rsid w:val="00405FA5"/>
    <w:rsid w:val="00407131"/>
    <w:rsid w:val="004103E9"/>
    <w:rsid w:val="004111D4"/>
    <w:rsid w:val="00411F7B"/>
    <w:rsid w:val="00414903"/>
    <w:rsid w:val="0042494F"/>
    <w:rsid w:val="00426303"/>
    <w:rsid w:val="0042673C"/>
    <w:rsid w:val="00426FFB"/>
    <w:rsid w:val="00430390"/>
    <w:rsid w:val="00430405"/>
    <w:rsid w:val="00430472"/>
    <w:rsid w:val="0043083C"/>
    <w:rsid w:val="00431479"/>
    <w:rsid w:val="00432EF3"/>
    <w:rsid w:val="004332A0"/>
    <w:rsid w:val="00433629"/>
    <w:rsid w:val="00433BB8"/>
    <w:rsid w:val="00434E0B"/>
    <w:rsid w:val="004358AA"/>
    <w:rsid w:val="0043611B"/>
    <w:rsid w:val="0043694A"/>
    <w:rsid w:val="00436F52"/>
    <w:rsid w:val="00437719"/>
    <w:rsid w:val="0044093E"/>
    <w:rsid w:val="00442D1A"/>
    <w:rsid w:val="004433CD"/>
    <w:rsid w:val="00443EF6"/>
    <w:rsid w:val="004443EC"/>
    <w:rsid w:val="004445D0"/>
    <w:rsid w:val="0044490C"/>
    <w:rsid w:val="00447FF4"/>
    <w:rsid w:val="00452615"/>
    <w:rsid w:val="0045341F"/>
    <w:rsid w:val="00453C99"/>
    <w:rsid w:val="00453DE4"/>
    <w:rsid w:val="00454045"/>
    <w:rsid w:val="004541C8"/>
    <w:rsid w:val="00455BB1"/>
    <w:rsid w:val="00456A5A"/>
    <w:rsid w:val="00456D85"/>
    <w:rsid w:val="00456EDD"/>
    <w:rsid w:val="004602B0"/>
    <w:rsid w:val="00460801"/>
    <w:rsid w:val="004622D7"/>
    <w:rsid w:val="004649BD"/>
    <w:rsid w:val="004665DB"/>
    <w:rsid w:val="00467113"/>
    <w:rsid w:val="00467797"/>
    <w:rsid w:val="00472D82"/>
    <w:rsid w:val="0047357E"/>
    <w:rsid w:val="00473593"/>
    <w:rsid w:val="00475051"/>
    <w:rsid w:val="00475066"/>
    <w:rsid w:val="004752AB"/>
    <w:rsid w:val="00477A24"/>
    <w:rsid w:val="0048037A"/>
    <w:rsid w:val="00484511"/>
    <w:rsid w:val="00484820"/>
    <w:rsid w:val="00484B2D"/>
    <w:rsid w:val="00487CED"/>
    <w:rsid w:val="00491B17"/>
    <w:rsid w:val="00491FEB"/>
    <w:rsid w:val="004934C3"/>
    <w:rsid w:val="004955E5"/>
    <w:rsid w:val="00496046"/>
    <w:rsid w:val="0049605F"/>
    <w:rsid w:val="0049608B"/>
    <w:rsid w:val="00496114"/>
    <w:rsid w:val="004970A9"/>
    <w:rsid w:val="00497708"/>
    <w:rsid w:val="0049799E"/>
    <w:rsid w:val="00497A50"/>
    <w:rsid w:val="004A09AA"/>
    <w:rsid w:val="004A0D6F"/>
    <w:rsid w:val="004A181B"/>
    <w:rsid w:val="004A1DED"/>
    <w:rsid w:val="004A5EF1"/>
    <w:rsid w:val="004A693F"/>
    <w:rsid w:val="004A7495"/>
    <w:rsid w:val="004A7B5C"/>
    <w:rsid w:val="004B03FF"/>
    <w:rsid w:val="004B09A9"/>
    <w:rsid w:val="004B2ADD"/>
    <w:rsid w:val="004B4237"/>
    <w:rsid w:val="004B502D"/>
    <w:rsid w:val="004B5CDE"/>
    <w:rsid w:val="004B5F5B"/>
    <w:rsid w:val="004B6788"/>
    <w:rsid w:val="004B7CD6"/>
    <w:rsid w:val="004C1156"/>
    <w:rsid w:val="004C2E47"/>
    <w:rsid w:val="004C3195"/>
    <w:rsid w:val="004C3B86"/>
    <w:rsid w:val="004C405D"/>
    <w:rsid w:val="004C4070"/>
    <w:rsid w:val="004C6B91"/>
    <w:rsid w:val="004C721C"/>
    <w:rsid w:val="004C7F05"/>
    <w:rsid w:val="004D1654"/>
    <w:rsid w:val="004D18BF"/>
    <w:rsid w:val="004D2671"/>
    <w:rsid w:val="004D4219"/>
    <w:rsid w:val="004D7E9A"/>
    <w:rsid w:val="004E0EC3"/>
    <w:rsid w:val="004E1503"/>
    <w:rsid w:val="004E2770"/>
    <w:rsid w:val="004E2E0E"/>
    <w:rsid w:val="004E32CF"/>
    <w:rsid w:val="004E5597"/>
    <w:rsid w:val="004F0528"/>
    <w:rsid w:val="004F0910"/>
    <w:rsid w:val="004F0F32"/>
    <w:rsid w:val="004F22B7"/>
    <w:rsid w:val="004F336F"/>
    <w:rsid w:val="004F6AF9"/>
    <w:rsid w:val="004F7BED"/>
    <w:rsid w:val="00500F74"/>
    <w:rsid w:val="005037FD"/>
    <w:rsid w:val="00505176"/>
    <w:rsid w:val="005051EE"/>
    <w:rsid w:val="0050568B"/>
    <w:rsid w:val="0050658F"/>
    <w:rsid w:val="0051184D"/>
    <w:rsid w:val="00514AA0"/>
    <w:rsid w:val="00514FB7"/>
    <w:rsid w:val="00520F68"/>
    <w:rsid w:val="005219FE"/>
    <w:rsid w:val="0052268E"/>
    <w:rsid w:val="00523C61"/>
    <w:rsid w:val="00524343"/>
    <w:rsid w:val="00524A4B"/>
    <w:rsid w:val="00524F84"/>
    <w:rsid w:val="00527543"/>
    <w:rsid w:val="00530BB1"/>
    <w:rsid w:val="00531CC1"/>
    <w:rsid w:val="00532636"/>
    <w:rsid w:val="005332CF"/>
    <w:rsid w:val="00534329"/>
    <w:rsid w:val="00534660"/>
    <w:rsid w:val="0053602B"/>
    <w:rsid w:val="005376F7"/>
    <w:rsid w:val="00540873"/>
    <w:rsid w:val="00541FEA"/>
    <w:rsid w:val="00542BCF"/>
    <w:rsid w:val="00543394"/>
    <w:rsid w:val="005437A0"/>
    <w:rsid w:val="0054471E"/>
    <w:rsid w:val="0054478E"/>
    <w:rsid w:val="00547A55"/>
    <w:rsid w:val="00547AB0"/>
    <w:rsid w:val="00547FFB"/>
    <w:rsid w:val="0055092C"/>
    <w:rsid w:val="00551E53"/>
    <w:rsid w:val="005540F3"/>
    <w:rsid w:val="00555905"/>
    <w:rsid w:val="00561371"/>
    <w:rsid w:val="005615B4"/>
    <w:rsid w:val="00561AC9"/>
    <w:rsid w:val="0056289E"/>
    <w:rsid w:val="0056351B"/>
    <w:rsid w:val="00565A39"/>
    <w:rsid w:val="005662FC"/>
    <w:rsid w:val="00573A29"/>
    <w:rsid w:val="00573AA9"/>
    <w:rsid w:val="005746C7"/>
    <w:rsid w:val="00577992"/>
    <w:rsid w:val="00577E7A"/>
    <w:rsid w:val="00581536"/>
    <w:rsid w:val="005816D1"/>
    <w:rsid w:val="00584102"/>
    <w:rsid w:val="005843AC"/>
    <w:rsid w:val="00591065"/>
    <w:rsid w:val="00592A33"/>
    <w:rsid w:val="00592C5F"/>
    <w:rsid w:val="00595D0C"/>
    <w:rsid w:val="00596876"/>
    <w:rsid w:val="005979FC"/>
    <w:rsid w:val="00597F29"/>
    <w:rsid w:val="005A0844"/>
    <w:rsid w:val="005A1221"/>
    <w:rsid w:val="005A3B4A"/>
    <w:rsid w:val="005A4D32"/>
    <w:rsid w:val="005A5D23"/>
    <w:rsid w:val="005A6415"/>
    <w:rsid w:val="005B23CE"/>
    <w:rsid w:val="005B3B0C"/>
    <w:rsid w:val="005B459C"/>
    <w:rsid w:val="005C08EE"/>
    <w:rsid w:val="005C245A"/>
    <w:rsid w:val="005C320D"/>
    <w:rsid w:val="005C4824"/>
    <w:rsid w:val="005C545D"/>
    <w:rsid w:val="005C721C"/>
    <w:rsid w:val="005D1D83"/>
    <w:rsid w:val="005D2119"/>
    <w:rsid w:val="005D3870"/>
    <w:rsid w:val="005D3D02"/>
    <w:rsid w:val="005D3FDF"/>
    <w:rsid w:val="005D48C7"/>
    <w:rsid w:val="005D5D40"/>
    <w:rsid w:val="005D6BB7"/>
    <w:rsid w:val="005D6EF5"/>
    <w:rsid w:val="005D74D2"/>
    <w:rsid w:val="005D7992"/>
    <w:rsid w:val="005D7FD1"/>
    <w:rsid w:val="005E0264"/>
    <w:rsid w:val="005E091C"/>
    <w:rsid w:val="005E110C"/>
    <w:rsid w:val="005E1A1E"/>
    <w:rsid w:val="005E2891"/>
    <w:rsid w:val="005E5298"/>
    <w:rsid w:val="005E5459"/>
    <w:rsid w:val="005E55CE"/>
    <w:rsid w:val="005E5975"/>
    <w:rsid w:val="005E5EC5"/>
    <w:rsid w:val="005E6B5D"/>
    <w:rsid w:val="005E6B68"/>
    <w:rsid w:val="005F092C"/>
    <w:rsid w:val="005F2146"/>
    <w:rsid w:val="005F5953"/>
    <w:rsid w:val="005F7DBD"/>
    <w:rsid w:val="005F7E1A"/>
    <w:rsid w:val="00600150"/>
    <w:rsid w:val="00601FE2"/>
    <w:rsid w:val="00602281"/>
    <w:rsid w:val="0060234F"/>
    <w:rsid w:val="00602BE0"/>
    <w:rsid w:val="0060439E"/>
    <w:rsid w:val="00604EF4"/>
    <w:rsid w:val="006051D6"/>
    <w:rsid w:val="00605AE5"/>
    <w:rsid w:val="0060611B"/>
    <w:rsid w:val="00610EB9"/>
    <w:rsid w:val="00611618"/>
    <w:rsid w:val="00612460"/>
    <w:rsid w:val="00612550"/>
    <w:rsid w:val="00613C54"/>
    <w:rsid w:val="006163DB"/>
    <w:rsid w:val="006210DD"/>
    <w:rsid w:val="00621A00"/>
    <w:rsid w:val="0062303F"/>
    <w:rsid w:val="0062310D"/>
    <w:rsid w:val="006233BA"/>
    <w:rsid w:val="006260FE"/>
    <w:rsid w:val="00630F37"/>
    <w:rsid w:val="00631E3F"/>
    <w:rsid w:val="00632422"/>
    <w:rsid w:val="00632BB3"/>
    <w:rsid w:val="00633CC2"/>
    <w:rsid w:val="00635B49"/>
    <w:rsid w:val="00636D00"/>
    <w:rsid w:val="006371A6"/>
    <w:rsid w:val="0063766B"/>
    <w:rsid w:val="00641009"/>
    <w:rsid w:val="00641231"/>
    <w:rsid w:val="00642102"/>
    <w:rsid w:val="0064222C"/>
    <w:rsid w:val="00642806"/>
    <w:rsid w:val="00643A0B"/>
    <w:rsid w:val="0064435A"/>
    <w:rsid w:val="00646766"/>
    <w:rsid w:val="00646B64"/>
    <w:rsid w:val="0064729F"/>
    <w:rsid w:val="00650738"/>
    <w:rsid w:val="0065112C"/>
    <w:rsid w:val="00652370"/>
    <w:rsid w:val="006531AE"/>
    <w:rsid w:val="00653B6E"/>
    <w:rsid w:val="006540E2"/>
    <w:rsid w:val="00654DF5"/>
    <w:rsid w:val="0065532E"/>
    <w:rsid w:val="00656D5F"/>
    <w:rsid w:val="00657F1F"/>
    <w:rsid w:val="00661283"/>
    <w:rsid w:val="00661FC9"/>
    <w:rsid w:val="00666587"/>
    <w:rsid w:val="00667935"/>
    <w:rsid w:val="00670C76"/>
    <w:rsid w:val="00671457"/>
    <w:rsid w:val="0067194F"/>
    <w:rsid w:val="006733EC"/>
    <w:rsid w:val="00674A2C"/>
    <w:rsid w:val="0067570B"/>
    <w:rsid w:val="006758A0"/>
    <w:rsid w:val="00675A5C"/>
    <w:rsid w:val="00675C1A"/>
    <w:rsid w:val="00677D6B"/>
    <w:rsid w:val="0068106A"/>
    <w:rsid w:val="00682F7D"/>
    <w:rsid w:val="00683D92"/>
    <w:rsid w:val="00683F3F"/>
    <w:rsid w:val="006840C9"/>
    <w:rsid w:val="00684D39"/>
    <w:rsid w:val="006855A8"/>
    <w:rsid w:val="006862D7"/>
    <w:rsid w:val="0068630F"/>
    <w:rsid w:val="00686885"/>
    <w:rsid w:val="0068719E"/>
    <w:rsid w:val="00687AE1"/>
    <w:rsid w:val="00691D47"/>
    <w:rsid w:val="00692888"/>
    <w:rsid w:val="00696094"/>
    <w:rsid w:val="00696ED2"/>
    <w:rsid w:val="006A0F55"/>
    <w:rsid w:val="006A1170"/>
    <w:rsid w:val="006A17C2"/>
    <w:rsid w:val="006A21F7"/>
    <w:rsid w:val="006A3732"/>
    <w:rsid w:val="006A3D10"/>
    <w:rsid w:val="006A4379"/>
    <w:rsid w:val="006A5C82"/>
    <w:rsid w:val="006A6607"/>
    <w:rsid w:val="006A7D0E"/>
    <w:rsid w:val="006B2A69"/>
    <w:rsid w:val="006B2E25"/>
    <w:rsid w:val="006B2FCF"/>
    <w:rsid w:val="006B38D6"/>
    <w:rsid w:val="006B3D06"/>
    <w:rsid w:val="006B3F61"/>
    <w:rsid w:val="006B3FA9"/>
    <w:rsid w:val="006B41E6"/>
    <w:rsid w:val="006B6595"/>
    <w:rsid w:val="006B71BE"/>
    <w:rsid w:val="006B7A71"/>
    <w:rsid w:val="006C00F9"/>
    <w:rsid w:val="006C0135"/>
    <w:rsid w:val="006C32F0"/>
    <w:rsid w:val="006C38CD"/>
    <w:rsid w:val="006C391F"/>
    <w:rsid w:val="006C3A8D"/>
    <w:rsid w:val="006C44F1"/>
    <w:rsid w:val="006C5952"/>
    <w:rsid w:val="006C6A0D"/>
    <w:rsid w:val="006C700F"/>
    <w:rsid w:val="006D0075"/>
    <w:rsid w:val="006D12A0"/>
    <w:rsid w:val="006D1E92"/>
    <w:rsid w:val="006D27AF"/>
    <w:rsid w:val="006D72D5"/>
    <w:rsid w:val="006D74EE"/>
    <w:rsid w:val="006D7E14"/>
    <w:rsid w:val="006D7E88"/>
    <w:rsid w:val="006E013A"/>
    <w:rsid w:val="006E0A90"/>
    <w:rsid w:val="006E5515"/>
    <w:rsid w:val="006E5A02"/>
    <w:rsid w:val="006F0DF8"/>
    <w:rsid w:val="006F1891"/>
    <w:rsid w:val="006F55F5"/>
    <w:rsid w:val="006F5DAE"/>
    <w:rsid w:val="006F5E33"/>
    <w:rsid w:val="006F693E"/>
    <w:rsid w:val="006F7C34"/>
    <w:rsid w:val="006F7CDF"/>
    <w:rsid w:val="007008BD"/>
    <w:rsid w:val="00702682"/>
    <w:rsid w:val="007035D3"/>
    <w:rsid w:val="00704B65"/>
    <w:rsid w:val="0070730F"/>
    <w:rsid w:val="00707E50"/>
    <w:rsid w:val="00710B68"/>
    <w:rsid w:val="00710BA2"/>
    <w:rsid w:val="007114B0"/>
    <w:rsid w:val="00713988"/>
    <w:rsid w:val="00715DE5"/>
    <w:rsid w:val="00715FC4"/>
    <w:rsid w:val="00717427"/>
    <w:rsid w:val="00720168"/>
    <w:rsid w:val="00720907"/>
    <w:rsid w:val="00721C25"/>
    <w:rsid w:val="00722550"/>
    <w:rsid w:val="00722579"/>
    <w:rsid w:val="007231D4"/>
    <w:rsid w:val="007244C3"/>
    <w:rsid w:val="0072654C"/>
    <w:rsid w:val="00726625"/>
    <w:rsid w:val="00727414"/>
    <w:rsid w:val="00727451"/>
    <w:rsid w:val="0072748E"/>
    <w:rsid w:val="00730E22"/>
    <w:rsid w:val="00732923"/>
    <w:rsid w:val="00732E2C"/>
    <w:rsid w:val="00732F92"/>
    <w:rsid w:val="007332C9"/>
    <w:rsid w:val="007337D5"/>
    <w:rsid w:val="00742FAE"/>
    <w:rsid w:val="007435E0"/>
    <w:rsid w:val="007467CB"/>
    <w:rsid w:val="00747457"/>
    <w:rsid w:val="00750761"/>
    <w:rsid w:val="00754138"/>
    <w:rsid w:val="00754878"/>
    <w:rsid w:val="00754F4A"/>
    <w:rsid w:val="0075535B"/>
    <w:rsid w:val="00755A94"/>
    <w:rsid w:val="00755B02"/>
    <w:rsid w:val="007571F1"/>
    <w:rsid w:val="00761DFC"/>
    <w:rsid w:val="00762E3E"/>
    <w:rsid w:val="00765AD3"/>
    <w:rsid w:val="0076632B"/>
    <w:rsid w:val="00767AF7"/>
    <w:rsid w:val="00767F74"/>
    <w:rsid w:val="00771C85"/>
    <w:rsid w:val="00771DC9"/>
    <w:rsid w:val="0077283E"/>
    <w:rsid w:val="00773D0B"/>
    <w:rsid w:val="00773ECF"/>
    <w:rsid w:val="00773FF1"/>
    <w:rsid w:val="0077419A"/>
    <w:rsid w:val="00774F03"/>
    <w:rsid w:val="007761D7"/>
    <w:rsid w:val="00776DCA"/>
    <w:rsid w:val="00776E23"/>
    <w:rsid w:val="00780136"/>
    <w:rsid w:val="00784ABF"/>
    <w:rsid w:val="007874B6"/>
    <w:rsid w:val="0078751F"/>
    <w:rsid w:val="007879D3"/>
    <w:rsid w:val="00787D45"/>
    <w:rsid w:val="00787E76"/>
    <w:rsid w:val="00792646"/>
    <w:rsid w:val="007966C1"/>
    <w:rsid w:val="00797705"/>
    <w:rsid w:val="00797D79"/>
    <w:rsid w:val="007A06FC"/>
    <w:rsid w:val="007A0E33"/>
    <w:rsid w:val="007A0F1C"/>
    <w:rsid w:val="007A10C8"/>
    <w:rsid w:val="007A2AFB"/>
    <w:rsid w:val="007A3163"/>
    <w:rsid w:val="007A345E"/>
    <w:rsid w:val="007A46E2"/>
    <w:rsid w:val="007A71BE"/>
    <w:rsid w:val="007B0E52"/>
    <w:rsid w:val="007B2A60"/>
    <w:rsid w:val="007B40FD"/>
    <w:rsid w:val="007B5386"/>
    <w:rsid w:val="007B7685"/>
    <w:rsid w:val="007B7FA0"/>
    <w:rsid w:val="007C0682"/>
    <w:rsid w:val="007C088E"/>
    <w:rsid w:val="007C0CEB"/>
    <w:rsid w:val="007C2275"/>
    <w:rsid w:val="007C2305"/>
    <w:rsid w:val="007C43A9"/>
    <w:rsid w:val="007C4F10"/>
    <w:rsid w:val="007C7B50"/>
    <w:rsid w:val="007D02CB"/>
    <w:rsid w:val="007D112D"/>
    <w:rsid w:val="007D15B5"/>
    <w:rsid w:val="007D48AD"/>
    <w:rsid w:val="007D6C50"/>
    <w:rsid w:val="007D6EB8"/>
    <w:rsid w:val="007E08D8"/>
    <w:rsid w:val="007E238D"/>
    <w:rsid w:val="007E27BC"/>
    <w:rsid w:val="007E291E"/>
    <w:rsid w:val="007E7877"/>
    <w:rsid w:val="007F3906"/>
    <w:rsid w:val="007F51E7"/>
    <w:rsid w:val="007F67AE"/>
    <w:rsid w:val="007F696D"/>
    <w:rsid w:val="007F6E2F"/>
    <w:rsid w:val="007F79B1"/>
    <w:rsid w:val="007F7CAE"/>
    <w:rsid w:val="008006EA"/>
    <w:rsid w:val="00804E92"/>
    <w:rsid w:val="00810A3A"/>
    <w:rsid w:val="00811BBA"/>
    <w:rsid w:val="008131C8"/>
    <w:rsid w:val="008153F1"/>
    <w:rsid w:val="0081572B"/>
    <w:rsid w:val="00815C01"/>
    <w:rsid w:val="00816689"/>
    <w:rsid w:val="00817EFF"/>
    <w:rsid w:val="00820A45"/>
    <w:rsid w:val="00820B10"/>
    <w:rsid w:val="00821015"/>
    <w:rsid w:val="00822D06"/>
    <w:rsid w:val="00823C83"/>
    <w:rsid w:val="00824A1A"/>
    <w:rsid w:val="00825CEC"/>
    <w:rsid w:val="00826650"/>
    <w:rsid w:val="008274AA"/>
    <w:rsid w:val="0083265C"/>
    <w:rsid w:val="00833F56"/>
    <w:rsid w:val="00835CC8"/>
    <w:rsid w:val="00840949"/>
    <w:rsid w:val="00841DDF"/>
    <w:rsid w:val="008420CB"/>
    <w:rsid w:val="00842382"/>
    <w:rsid w:val="00842768"/>
    <w:rsid w:val="00842A36"/>
    <w:rsid w:val="008436B5"/>
    <w:rsid w:val="008438B4"/>
    <w:rsid w:val="008453D3"/>
    <w:rsid w:val="00845662"/>
    <w:rsid w:val="008459D4"/>
    <w:rsid w:val="00845BC7"/>
    <w:rsid w:val="00845C89"/>
    <w:rsid w:val="00847D96"/>
    <w:rsid w:val="008502EF"/>
    <w:rsid w:val="008539AC"/>
    <w:rsid w:val="008547AD"/>
    <w:rsid w:val="00855EB5"/>
    <w:rsid w:val="008607DD"/>
    <w:rsid w:val="00861025"/>
    <w:rsid w:val="00865220"/>
    <w:rsid w:val="00865E53"/>
    <w:rsid w:val="0086754E"/>
    <w:rsid w:val="008713CB"/>
    <w:rsid w:val="00872A1C"/>
    <w:rsid w:val="00872EE3"/>
    <w:rsid w:val="00872F8D"/>
    <w:rsid w:val="008735B5"/>
    <w:rsid w:val="00873A31"/>
    <w:rsid w:val="00875091"/>
    <w:rsid w:val="008768CC"/>
    <w:rsid w:val="00877862"/>
    <w:rsid w:val="00880B2A"/>
    <w:rsid w:val="00884862"/>
    <w:rsid w:val="008854D5"/>
    <w:rsid w:val="0088573F"/>
    <w:rsid w:val="00887866"/>
    <w:rsid w:val="00890845"/>
    <w:rsid w:val="00890AC1"/>
    <w:rsid w:val="0089101D"/>
    <w:rsid w:val="00892A29"/>
    <w:rsid w:val="0089378F"/>
    <w:rsid w:val="008943FA"/>
    <w:rsid w:val="00894A8D"/>
    <w:rsid w:val="00896E0A"/>
    <w:rsid w:val="008A23B8"/>
    <w:rsid w:val="008A269E"/>
    <w:rsid w:val="008A27CD"/>
    <w:rsid w:val="008A48DA"/>
    <w:rsid w:val="008A5D82"/>
    <w:rsid w:val="008B0840"/>
    <w:rsid w:val="008B1F99"/>
    <w:rsid w:val="008B5185"/>
    <w:rsid w:val="008B7F03"/>
    <w:rsid w:val="008C16A9"/>
    <w:rsid w:val="008C2444"/>
    <w:rsid w:val="008C2CE0"/>
    <w:rsid w:val="008C3D8F"/>
    <w:rsid w:val="008C6FD3"/>
    <w:rsid w:val="008C7677"/>
    <w:rsid w:val="008C7D96"/>
    <w:rsid w:val="008D1EE0"/>
    <w:rsid w:val="008D22DF"/>
    <w:rsid w:val="008D276A"/>
    <w:rsid w:val="008D3A06"/>
    <w:rsid w:val="008D4E32"/>
    <w:rsid w:val="008D5B41"/>
    <w:rsid w:val="008D5BC7"/>
    <w:rsid w:val="008D62EC"/>
    <w:rsid w:val="008D6DCF"/>
    <w:rsid w:val="008E0751"/>
    <w:rsid w:val="008E0CA0"/>
    <w:rsid w:val="008E1D18"/>
    <w:rsid w:val="008E2B16"/>
    <w:rsid w:val="008E2D49"/>
    <w:rsid w:val="008E2D64"/>
    <w:rsid w:val="008E4190"/>
    <w:rsid w:val="008E4DB8"/>
    <w:rsid w:val="008E4FF9"/>
    <w:rsid w:val="008E6610"/>
    <w:rsid w:val="008F06C2"/>
    <w:rsid w:val="008F0DB2"/>
    <w:rsid w:val="008F133D"/>
    <w:rsid w:val="008F4EFB"/>
    <w:rsid w:val="008F6B28"/>
    <w:rsid w:val="008F7717"/>
    <w:rsid w:val="00902751"/>
    <w:rsid w:val="00902B52"/>
    <w:rsid w:val="00906180"/>
    <w:rsid w:val="009067F6"/>
    <w:rsid w:val="00907446"/>
    <w:rsid w:val="009114D2"/>
    <w:rsid w:val="00911C8F"/>
    <w:rsid w:val="00912F5A"/>
    <w:rsid w:val="00913D89"/>
    <w:rsid w:val="009159DA"/>
    <w:rsid w:val="00916500"/>
    <w:rsid w:val="00916DBD"/>
    <w:rsid w:val="00920B22"/>
    <w:rsid w:val="00920C74"/>
    <w:rsid w:val="0092155F"/>
    <w:rsid w:val="00923BF8"/>
    <w:rsid w:val="00923D30"/>
    <w:rsid w:val="009257C3"/>
    <w:rsid w:val="00925AB8"/>
    <w:rsid w:val="009314AA"/>
    <w:rsid w:val="0093239F"/>
    <w:rsid w:val="00933B75"/>
    <w:rsid w:val="00935E61"/>
    <w:rsid w:val="00936F37"/>
    <w:rsid w:val="00940196"/>
    <w:rsid w:val="009412F2"/>
    <w:rsid w:val="00941332"/>
    <w:rsid w:val="00943156"/>
    <w:rsid w:val="00943AE9"/>
    <w:rsid w:val="009450C9"/>
    <w:rsid w:val="009504D9"/>
    <w:rsid w:val="0095114F"/>
    <w:rsid w:val="009519F8"/>
    <w:rsid w:val="00953E78"/>
    <w:rsid w:val="00953FA6"/>
    <w:rsid w:val="00954654"/>
    <w:rsid w:val="009570A8"/>
    <w:rsid w:val="00957488"/>
    <w:rsid w:val="00957CA9"/>
    <w:rsid w:val="009613EA"/>
    <w:rsid w:val="00962A3F"/>
    <w:rsid w:val="00962A58"/>
    <w:rsid w:val="00962F21"/>
    <w:rsid w:val="00965076"/>
    <w:rsid w:val="00965D89"/>
    <w:rsid w:val="00970A64"/>
    <w:rsid w:val="0097129D"/>
    <w:rsid w:val="00971E7C"/>
    <w:rsid w:val="0097275A"/>
    <w:rsid w:val="0097349F"/>
    <w:rsid w:val="00973D21"/>
    <w:rsid w:val="009748D7"/>
    <w:rsid w:val="00974EE3"/>
    <w:rsid w:val="009827FC"/>
    <w:rsid w:val="00982A79"/>
    <w:rsid w:val="00982D0D"/>
    <w:rsid w:val="00983EAE"/>
    <w:rsid w:val="009851CB"/>
    <w:rsid w:val="00986164"/>
    <w:rsid w:val="00986621"/>
    <w:rsid w:val="00987F83"/>
    <w:rsid w:val="009902A0"/>
    <w:rsid w:val="00991F1F"/>
    <w:rsid w:val="0099225F"/>
    <w:rsid w:val="00993B69"/>
    <w:rsid w:val="00994A1F"/>
    <w:rsid w:val="00997492"/>
    <w:rsid w:val="00997EA9"/>
    <w:rsid w:val="009A0305"/>
    <w:rsid w:val="009A07B6"/>
    <w:rsid w:val="009A12B7"/>
    <w:rsid w:val="009A376F"/>
    <w:rsid w:val="009A7F87"/>
    <w:rsid w:val="009B0575"/>
    <w:rsid w:val="009B096E"/>
    <w:rsid w:val="009B1D07"/>
    <w:rsid w:val="009B332C"/>
    <w:rsid w:val="009B3D5A"/>
    <w:rsid w:val="009B3F1A"/>
    <w:rsid w:val="009B5E36"/>
    <w:rsid w:val="009B67C2"/>
    <w:rsid w:val="009B7710"/>
    <w:rsid w:val="009B7E3D"/>
    <w:rsid w:val="009C0144"/>
    <w:rsid w:val="009C14C6"/>
    <w:rsid w:val="009C152A"/>
    <w:rsid w:val="009C227F"/>
    <w:rsid w:val="009C22F0"/>
    <w:rsid w:val="009C383B"/>
    <w:rsid w:val="009C5C8D"/>
    <w:rsid w:val="009C5D92"/>
    <w:rsid w:val="009C6438"/>
    <w:rsid w:val="009C7F9C"/>
    <w:rsid w:val="009D014C"/>
    <w:rsid w:val="009D0D0C"/>
    <w:rsid w:val="009D151B"/>
    <w:rsid w:val="009D3304"/>
    <w:rsid w:val="009D3ADE"/>
    <w:rsid w:val="009D3C66"/>
    <w:rsid w:val="009D6227"/>
    <w:rsid w:val="009D7CDD"/>
    <w:rsid w:val="009E0DFB"/>
    <w:rsid w:val="009E124F"/>
    <w:rsid w:val="009E1C3A"/>
    <w:rsid w:val="009E63C0"/>
    <w:rsid w:val="009F2C14"/>
    <w:rsid w:val="009F32BF"/>
    <w:rsid w:val="009F3C00"/>
    <w:rsid w:val="009F4BB9"/>
    <w:rsid w:val="009F5CB4"/>
    <w:rsid w:val="009F5FF0"/>
    <w:rsid w:val="009F642D"/>
    <w:rsid w:val="009F75BE"/>
    <w:rsid w:val="00A00CE0"/>
    <w:rsid w:val="00A0123F"/>
    <w:rsid w:val="00A01B2F"/>
    <w:rsid w:val="00A02574"/>
    <w:rsid w:val="00A027AA"/>
    <w:rsid w:val="00A03C1E"/>
    <w:rsid w:val="00A03D69"/>
    <w:rsid w:val="00A06B39"/>
    <w:rsid w:val="00A06FE1"/>
    <w:rsid w:val="00A07DE4"/>
    <w:rsid w:val="00A10939"/>
    <w:rsid w:val="00A109F6"/>
    <w:rsid w:val="00A11E7D"/>
    <w:rsid w:val="00A11EBB"/>
    <w:rsid w:val="00A1316E"/>
    <w:rsid w:val="00A1511F"/>
    <w:rsid w:val="00A15907"/>
    <w:rsid w:val="00A16FFA"/>
    <w:rsid w:val="00A22744"/>
    <w:rsid w:val="00A227FD"/>
    <w:rsid w:val="00A26763"/>
    <w:rsid w:val="00A32B9D"/>
    <w:rsid w:val="00A32CC4"/>
    <w:rsid w:val="00A33908"/>
    <w:rsid w:val="00A34A01"/>
    <w:rsid w:val="00A34BAC"/>
    <w:rsid w:val="00A34BD3"/>
    <w:rsid w:val="00A36D92"/>
    <w:rsid w:val="00A414BB"/>
    <w:rsid w:val="00A42027"/>
    <w:rsid w:val="00A4299D"/>
    <w:rsid w:val="00A433CE"/>
    <w:rsid w:val="00A43563"/>
    <w:rsid w:val="00A43B7D"/>
    <w:rsid w:val="00A45660"/>
    <w:rsid w:val="00A4585B"/>
    <w:rsid w:val="00A46839"/>
    <w:rsid w:val="00A47FC7"/>
    <w:rsid w:val="00A5051F"/>
    <w:rsid w:val="00A50DBA"/>
    <w:rsid w:val="00A51A82"/>
    <w:rsid w:val="00A5231F"/>
    <w:rsid w:val="00A52CE0"/>
    <w:rsid w:val="00A52DDB"/>
    <w:rsid w:val="00A53DE6"/>
    <w:rsid w:val="00A543FF"/>
    <w:rsid w:val="00A546BC"/>
    <w:rsid w:val="00A61FA1"/>
    <w:rsid w:val="00A63335"/>
    <w:rsid w:val="00A63B8D"/>
    <w:rsid w:val="00A648D8"/>
    <w:rsid w:val="00A6516B"/>
    <w:rsid w:val="00A65D01"/>
    <w:rsid w:val="00A65DCF"/>
    <w:rsid w:val="00A65FD3"/>
    <w:rsid w:val="00A67080"/>
    <w:rsid w:val="00A71D6C"/>
    <w:rsid w:val="00A74292"/>
    <w:rsid w:val="00A748A2"/>
    <w:rsid w:val="00A75078"/>
    <w:rsid w:val="00A7643F"/>
    <w:rsid w:val="00A772A3"/>
    <w:rsid w:val="00A77C4D"/>
    <w:rsid w:val="00A81C24"/>
    <w:rsid w:val="00A81CD9"/>
    <w:rsid w:val="00A83981"/>
    <w:rsid w:val="00A84029"/>
    <w:rsid w:val="00A870E7"/>
    <w:rsid w:val="00A87DA4"/>
    <w:rsid w:val="00A93C2A"/>
    <w:rsid w:val="00A942E4"/>
    <w:rsid w:val="00A9644C"/>
    <w:rsid w:val="00A971BC"/>
    <w:rsid w:val="00A978F4"/>
    <w:rsid w:val="00A9793E"/>
    <w:rsid w:val="00AA2489"/>
    <w:rsid w:val="00AA3DDB"/>
    <w:rsid w:val="00AA46C8"/>
    <w:rsid w:val="00AA512C"/>
    <w:rsid w:val="00AA666F"/>
    <w:rsid w:val="00AA765A"/>
    <w:rsid w:val="00AA7BD8"/>
    <w:rsid w:val="00AB0D47"/>
    <w:rsid w:val="00AB17D9"/>
    <w:rsid w:val="00AB1ACF"/>
    <w:rsid w:val="00AB3108"/>
    <w:rsid w:val="00AB4363"/>
    <w:rsid w:val="00AB4499"/>
    <w:rsid w:val="00AB49C2"/>
    <w:rsid w:val="00AB4FD7"/>
    <w:rsid w:val="00AB50AA"/>
    <w:rsid w:val="00AB7098"/>
    <w:rsid w:val="00AB7966"/>
    <w:rsid w:val="00AC36A3"/>
    <w:rsid w:val="00AC4403"/>
    <w:rsid w:val="00AC5438"/>
    <w:rsid w:val="00AC6DF3"/>
    <w:rsid w:val="00AD097D"/>
    <w:rsid w:val="00AD1830"/>
    <w:rsid w:val="00AD1F46"/>
    <w:rsid w:val="00AD25F2"/>
    <w:rsid w:val="00AD42C2"/>
    <w:rsid w:val="00AD480D"/>
    <w:rsid w:val="00AD4A15"/>
    <w:rsid w:val="00AD5074"/>
    <w:rsid w:val="00AD51BA"/>
    <w:rsid w:val="00AD6FBC"/>
    <w:rsid w:val="00AD7E97"/>
    <w:rsid w:val="00AE09A4"/>
    <w:rsid w:val="00AE0A73"/>
    <w:rsid w:val="00AE3373"/>
    <w:rsid w:val="00AE4188"/>
    <w:rsid w:val="00AE41AB"/>
    <w:rsid w:val="00AE6733"/>
    <w:rsid w:val="00AE6B1D"/>
    <w:rsid w:val="00AE71CB"/>
    <w:rsid w:val="00AF0A16"/>
    <w:rsid w:val="00AF0C00"/>
    <w:rsid w:val="00AF18AF"/>
    <w:rsid w:val="00AF1AD0"/>
    <w:rsid w:val="00AF25B3"/>
    <w:rsid w:val="00AF3D2B"/>
    <w:rsid w:val="00AF4C30"/>
    <w:rsid w:val="00AF57AB"/>
    <w:rsid w:val="00AF7241"/>
    <w:rsid w:val="00AF73A4"/>
    <w:rsid w:val="00B014D2"/>
    <w:rsid w:val="00B01680"/>
    <w:rsid w:val="00B042B6"/>
    <w:rsid w:val="00B05D7D"/>
    <w:rsid w:val="00B060B1"/>
    <w:rsid w:val="00B07B5E"/>
    <w:rsid w:val="00B115E5"/>
    <w:rsid w:val="00B13EF8"/>
    <w:rsid w:val="00B14152"/>
    <w:rsid w:val="00B1454A"/>
    <w:rsid w:val="00B17511"/>
    <w:rsid w:val="00B17963"/>
    <w:rsid w:val="00B202DC"/>
    <w:rsid w:val="00B202EE"/>
    <w:rsid w:val="00B21BAC"/>
    <w:rsid w:val="00B22B82"/>
    <w:rsid w:val="00B232BB"/>
    <w:rsid w:val="00B2491A"/>
    <w:rsid w:val="00B25D43"/>
    <w:rsid w:val="00B2634D"/>
    <w:rsid w:val="00B27E5C"/>
    <w:rsid w:val="00B3148C"/>
    <w:rsid w:val="00B332E4"/>
    <w:rsid w:val="00B34798"/>
    <w:rsid w:val="00B35649"/>
    <w:rsid w:val="00B40B10"/>
    <w:rsid w:val="00B41328"/>
    <w:rsid w:val="00B41D51"/>
    <w:rsid w:val="00B4278E"/>
    <w:rsid w:val="00B4635A"/>
    <w:rsid w:val="00B4753A"/>
    <w:rsid w:val="00B5032F"/>
    <w:rsid w:val="00B521DA"/>
    <w:rsid w:val="00B524A2"/>
    <w:rsid w:val="00B5363C"/>
    <w:rsid w:val="00B54273"/>
    <w:rsid w:val="00B54FB5"/>
    <w:rsid w:val="00B550F8"/>
    <w:rsid w:val="00B55540"/>
    <w:rsid w:val="00B55CC7"/>
    <w:rsid w:val="00B56830"/>
    <w:rsid w:val="00B617FE"/>
    <w:rsid w:val="00B6342A"/>
    <w:rsid w:val="00B63B59"/>
    <w:rsid w:val="00B63D97"/>
    <w:rsid w:val="00B6409F"/>
    <w:rsid w:val="00B6421E"/>
    <w:rsid w:val="00B66644"/>
    <w:rsid w:val="00B67F10"/>
    <w:rsid w:val="00B706A0"/>
    <w:rsid w:val="00B70E99"/>
    <w:rsid w:val="00B71463"/>
    <w:rsid w:val="00B71CAE"/>
    <w:rsid w:val="00B72FB2"/>
    <w:rsid w:val="00B74845"/>
    <w:rsid w:val="00B7540E"/>
    <w:rsid w:val="00B7561A"/>
    <w:rsid w:val="00B779BB"/>
    <w:rsid w:val="00B80131"/>
    <w:rsid w:val="00B806B8"/>
    <w:rsid w:val="00B82360"/>
    <w:rsid w:val="00B83205"/>
    <w:rsid w:val="00B8661A"/>
    <w:rsid w:val="00B86DD0"/>
    <w:rsid w:val="00B90768"/>
    <w:rsid w:val="00B92B89"/>
    <w:rsid w:val="00B959E1"/>
    <w:rsid w:val="00B95B6A"/>
    <w:rsid w:val="00B95FA9"/>
    <w:rsid w:val="00BA1C26"/>
    <w:rsid w:val="00BA1E47"/>
    <w:rsid w:val="00BA3243"/>
    <w:rsid w:val="00BA5DDE"/>
    <w:rsid w:val="00BB17AB"/>
    <w:rsid w:val="00BB2100"/>
    <w:rsid w:val="00BB244C"/>
    <w:rsid w:val="00BB2EA8"/>
    <w:rsid w:val="00BB52C7"/>
    <w:rsid w:val="00BB53FB"/>
    <w:rsid w:val="00BB5B4B"/>
    <w:rsid w:val="00BB632B"/>
    <w:rsid w:val="00BB63B3"/>
    <w:rsid w:val="00BB6966"/>
    <w:rsid w:val="00BC13B8"/>
    <w:rsid w:val="00BC1C56"/>
    <w:rsid w:val="00BC5798"/>
    <w:rsid w:val="00BC7DED"/>
    <w:rsid w:val="00BD0503"/>
    <w:rsid w:val="00BD0726"/>
    <w:rsid w:val="00BD0971"/>
    <w:rsid w:val="00BD0F6E"/>
    <w:rsid w:val="00BD121D"/>
    <w:rsid w:val="00BD35B5"/>
    <w:rsid w:val="00BD3FC2"/>
    <w:rsid w:val="00BD4336"/>
    <w:rsid w:val="00BD7385"/>
    <w:rsid w:val="00BD790B"/>
    <w:rsid w:val="00BD7B65"/>
    <w:rsid w:val="00BE073F"/>
    <w:rsid w:val="00BE14C1"/>
    <w:rsid w:val="00BE40B4"/>
    <w:rsid w:val="00BE4283"/>
    <w:rsid w:val="00BE4309"/>
    <w:rsid w:val="00BE66D6"/>
    <w:rsid w:val="00BE6759"/>
    <w:rsid w:val="00BF0446"/>
    <w:rsid w:val="00BF19F3"/>
    <w:rsid w:val="00BF258C"/>
    <w:rsid w:val="00BF556A"/>
    <w:rsid w:val="00BF7073"/>
    <w:rsid w:val="00BF70DA"/>
    <w:rsid w:val="00BF74F8"/>
    <w:rsid w:val="00C01E47"/>
    <w:rsid w:val="00C02BFC"/>
    <w:rsid w:val="00C030A7"/>
    <w:rsid w:val="00C04B5D"/>
    <w:rsid w:val="00C0592C"/>
    <w:rsid w:val="00C05D21"/>
    <w:rsid w:val="00C05E54"/>
    <w:rsid w:val="00C0623A"/>
    <w:rsid w:val="00C06FFA"/>
    <w:rsid w:val="00C07841"/>
    <w:rsid w:val="00C103A9"/>
    <w:rsid w:val="00C10C93"/>
    <w:rsid w:val="00C11AFA"/>
    <w:rsid w:val="00C13B17"/>
    <w:rsid w:val="00C156F5"/>
    <w:rsid w:val="00C205C8"/>
    <w:rsid w:val="00C215CB"/>
    <w:rsid w:val="00C21651"/>
    <w:rsid w:val="00C24414"/>
    <w:rsid w:val="00C252F5"/>
    <w:rsid w:val="00C262BE"/>
    <w:rsid w:val="00C326DC"/>
    <w:rsid w:val="00C36664"/>
    <w:rsid w:val="00C4404A"/>
    <w:rsid w:val="00C45B4B"/>
    <w:rsid w:val="00C46494"/>
    <w:rsid w:val="00C47BE9"/>
    <w:rsid w:val="00C53F50"/>
    <w:rsid w:val="00C55ED8"/>
    <w:rsid w:val="00C565A6"/>
    <w:rsid w:val="00C56A64"/>
    <w:rsid w:val="00C60AA6"/>
    <w:rsid w:val="00C6393A"/>
    <w:rsid w:val="00C63EC1"/>
    <w:rsid w:val="00C64EE3"/>
    <w:rsid w:val="00C6593E"/>
    <w:rsid w:val="00C664D3"/>
    <w:rsid w:val="00C665E2"/>
    <w:rsid w:val="00C70A8A"/>
    <w:rsid w:val="00C71DB6"/>
    <w:rsid w:val="00C72708"/>
    <w:rsid w:val="00C72D75"/>
    <w:rsid w:val="00C755C6"/>
    <w:rsid w:val="00C7667C"/>
    <w:rsid w:val="00C767B0"/>
    <w:rsid w:val="00C80F0F"/>
    <w:rsid w:val="00C8148A"/>
    <w:rsid w:val="00C816A5"/>
    <w:rsid w:val="00C81954"/>
    <w:rsid w:val="00C84B99"/>
    <w:rsid w:val="00C84E94"/>
    <w:rsid w:val="00C85D0C"/>
    <w:rsid w:val="00C860C8"/>
    <w:rsid w:val="00C86991"/>
    <w:rsid w:val="00C8784D"/>
    <w:rsid w:val="00C87ADE"/>
    <w:rsid w:val="00C90B56"/>
    <w:rsid w:val="00C90B89"/>
    <w:rsid w:val="00C929FC"/>
    <w:rsid w:val="00C960A7"/>
    <w:rsid w:val="00CA0B71"/>
    <w:rsid w:val="00CA0E07"/>
    <w:rsid w:val="00CA1E8D"/>
    <w:rsid w:val="00CA287A"/>
    <w:rsid w:val="00CA4BD7"/>
    <w:rsid w:val="00CA57DC"/>
    <w:rsid w:val="00CA6E0E"/>
    <w:rsid w:val="00CA7A19"/>
    <w:rsid w:val="00CB0B61"/>
    <w:rsid w:val="00CB2AB0"/>
    <w:rsid w:val="00CB3B20"/>
    <w:rsid w:val="00CB49EE"/>
    <w:rsid w:val="00CB567B"/>
    <w:rsid w:val="00CB5696"/>
    <w:rsid w:val="00CC17F2"/>
    <w:rsid w:val="00CC3E20"/>
    <w:rsid w:val="00CC4AD0"/>
    <w:rsid w:val="00CD042F"/>
    <w:rsid w:val="00CD137D"/>
    <w:rsid w:val="00CD2122"/>
    <w:rsid w:val="00CD3A60"/>
    <w:rsid w:val="00CD3B38"/>
    <w:rsid w:val="00CD4281"/>
    <w:rsid w:val="00CD65B4"/>
    <w:rsid w:val="00CE03A6"/>
    <w:rsid w:val="00CE0A26"/>
    <w:rsid w:val="00CE41D2"/>
    <w:rsid w:val="00CE5F40"/>
    <w:rsid w:val="00CE6224"/>
    <w:rsid w:val="00CF05FA"/>
    <w:rsid w:val="00CF0F03"/>
    <w:rsid w:val="00CF156C"/>
    <w:rsid w:val="00CF162E"/>
    <w:rsid w:val="00CF27EA"/>
    <w:rsid w:val="00CF4218"/>
    <w:rsid w:val="00CF536E"/>
    <w:rsid w:val="00CF53C6"/>
    <w:rsid w:val="00CF62D6"/>
    <w:rsid w:val="00CF638C"/>
    <w:rsid w:val="00D009FF"/>
    <w:rsid w:val="00D01C5E"/>
    <w:rsid w:val="00D021B5"/>
    <w:rsid w:val="00D038C5"/>
    <w:rsid w:val="00D10102"/>
    <w:rsid w:val="00D11014"/>
    <w:rsid w:val="00D115FA"/>
    <w:rsid w:val="00D137EA"/>
    <w:rsid w:val="00D1394A"/>
    <w:rsid w:val="00D13965"/>
    <w:rsid w:val="00D1429E"/>
    <w:rsid w:val="00D14951"/>
    <w:rsid w:val="00D15A2E"/>
    <w:rsid w:val="00D15A80"/>
    <w:rsid w:val="00D161C7"/>
    <w:rsid w:val="00D16568"/>
    <w:rsid w:val="00D22053"/>
    <w:rsid w:val="00D24128"/>
    <w:rsid w:val="00D252BD"/>
    <w:rsid w:val="00D252DE"/>
    <w:rsid w:val="00D25903"/>
    <w:rsid w:val="00D25C05"/>
    <w:rsid w:val="00D26CD5"/>
    <w:rsid w:val="00D3046B"/>
    <w:rsid w:val="00D314BC"/>
    <w:rsid w:val="00D31945"/>
    <w:rsid w:val="00D321E6"/>
    <w:rsid w:val="00D36ABF"/>
    <w:rsid w:val="00D37D0D"/>
    <w:rsid w:val="00D3E920"/>
    <w:rsid w:val="00D42C3C"/>
    <w:rsid w:val="00D44850"/>
    <w:rsid w:val="00D5257E"/>
    <w:rsid w:val="00D548B1"/>
    <w:rsid w:val="00D5499A"/>
    <w:rsid w:val="00D5565F"/>
    <w:rsid w:val="00D558C9"/>
    <w:rsid w:val="00D55A23"/>
    <w:rsid w:val="00D5625F"/>
    <w:rsid w:val="00D56857"/>
    <w:rsid w:val="00D57329"/>
    <w:rsid w:val="00D57773"/>
    <w:rsid w:val="00D61CAA"/>
    <w:rsid w:val="00D6555B"/>
    <w:rsid w:val="00D66FF4"/>
    <w:rsid w:val="00D7064E"/>
    <w:rsid w:val="00D71942"/>
    <w:rsid w:val="00D73CC9"/>
    <w:rsid w:val="00D740C2"/>
    <w:rsid w:val="00D74369"/>
    <w:rsid w:val="00D74642"/>
    <w:rsid w:val="00D7479B"/>
    <w:rsid w:val="00D75604"/>
    <w:rsid w:val="00D7661F"/>
    <w:rsid w:val="00D76829"/>
    <w:rsid w:val="00D77F4C"/>
    <w:rsid w:val="00D80002"/>
    <w:rsid w:val="00D80691"/>
    <w:rsid w:val="00D80DD7"/>
    <w:rsid w:val="00D80DEA"/>
    <w:rsid w:val="00D84606"/>
    <w:rsid w:val="00D87A3A"/>
    <w:rsid w:val="00D91B3E"/>
    <w:rsid w:val="00D92535"/>
    <w:rsid w:val="00D97436"/>
    <w:rsid w:val="00D97F18"/>
    <w:rsid w:val="00DA5F27"/>
    <w:rsid w:val="00DA72F5"/>
    <w:rsid w:val="00DA7660"/>
    <w:rsid w:val="00DB05A3"/>
    <w:rsid w:val="00DB49B2"/>
    <w:rsid w:val="00DB5F5B"/>
    <w:rsid w:val="00DB779F"/>
    <w:rsid w:val="00DB7D40"/>
    <w:rsid w:val="00DC039D"/>
    <w:rsid w:val="00DC244E"/>
    <w:rsid w:val="00DC3FC5"/>
    <w:rsid w:val="00DC58F2"/>
    <w:rsid w:val="00DC5DA1"/>
    <w:rsid w:val="00DC614D"/>
    <w:rsid w:val="00DD0637"/>
    <w:rsid w:val="00DD1087"/>
    <w:rsid w:val="00DD2837"/>
    <w:rsid w:val="00DD2CDF"/>
    <w:rsid w:val="00DD44A0"/>
    <w:rsid w:val="00DD4C2E"/>
    <w:rsid w:val="00DE2E77"/>
    <w:rsid w:val="00DE489F"/>
    <w:rsid w:val="00DE5452"/>
    <w:rsid w:val="00DE616E"/>
    <w:rsid w:val="00DE6176"/>
    <w:rsid w:val="00DE6369"/>
    <w:rsid w:val="00DE65F7"/>
    <w:rsid w:val="00DF04DD"/>
    <w:rsid w:val="00DF09FB"/>
    <w:rsid w:val="00DF223B"/>
    <w:rsid w:val="00DF587B"/>
    <w:rsid w:val="00DF5FC8"/>
    <w:rsid w:val="00DF6884"/>
    <w:rsid w:val="00DF6D13"/>
    <w:rsid w:val="00DF7EE4"/>
    <w:rsid w:val="00E0048A"/>
    <w:rsid w:val="00E00BF5"/>
    <w:rsid w:val="00E0445E"/>
    <w:rsid w:val="00E05D6C"/>
    <w:rsid w:val="00E108FE"/>
    <w:rsid w:val="00E11CF8"/>
    <w:rsid w:val="00E1257F"/>
    <w:rsid w:val="00E22CCD"/>
    <w:rsid w:val="00E2457F"/>
    <w:rsid w:val="00E26AD9"/>
    <w:rsid w:val="00E26B5E"/>
    <w:rsid w:val="00E30F05"/>
    <w:rsid w:val="00E32886"/>
    <w:rsid w:val="00E34AD6"/>
    <w:rsid w:val="00E36986"/>
    <w:rsid w:val="00E378AF"/>
    <w:rsid w:val="00E41BF8"/>
    <w:rsid w:val="00E432A9"/>
    <w:rsid w:val="00E4372C"/>
    <w:rsid w:val="00E43A41"/>
    <w:rsid w:val="00E44E1C"/>
    <w:rsid w:val="00E46D5F"/>
    <w:rsid w:val="00E51BC0"/>
    <w:rsid w:val="00E51EC5"/>
    <w:rsid w:val="00E52C2D"/>
    <w:rsid w:val="00E55E64"/>
    <w:rsid w:val="00E569D7"/>
    <w:rsid w:val="00E5714F"/>
    <w:rsid w:val="00E63E7A"/>
    <w:rsid w:val="00E66831"/>
    <w:rsid w:val="00E66893"/>
    <w:rsid w:val="00E7041E"/>
    <w:rsid w:val="00E70669"/>
    <w:rsid w:val="00E70CA1"/>
    <w:rsid w:val="00E7121A"/>
    <w:rsid w:val="00E7169C"/>
    <w:rsid w:val="00E71F2E"/>
    <w:rsid w:val="00E72492"/>
    <w:rsid w:val="00E729FA"/>
    <w:rsid w:val="00E72A96"/>
    <w:rsid w:val="00E74556"/>
    <w:rsid w:val="00E7564F"/>
    <w:rsid w:val="00E762C7"/>
    <w:rsid w:val="00E76DE5"/>
    <w:rsid w:val="00E801C5"/>
    <w:rsid w:val="00E81CAF"/>
    <w:rsid w:val="00E86472"/>
    <w:rsid w:val="00E864E3"/>
    <w:rsid w:val="00E879E3"/>
    <w:rsid w:val="00E914EB"/>
    <w:rsid w:val="00E91879"/>
    <w:rsid w:val="00E93653"/>
    <w:rsid w:val="00E9632D"/>
    <w:rsid w:val="00E975E2"/>
    <w:rsid w:val="00EA16DE"/>
    <w:rsid w:val="00EA2D81"/>
    <w:rsid w:val="00EA31C3"/>
    <w:rsid w:val="00EA3BCB"/>
    <w:rsid w:val="00EA4902"/>
    <w:rsid w:val="00EA6F6A"/>
    <w:rsid w:val="00EB0CEB"/>
    <w:rsid w:val="00EB2134"/>
    <w:rsid w:val="00EB3119"/>
    <w:rsid w:val="00EB4092"/>
    <w:rsid w:val="00EB40C5"/>
    <w:rsid w:val="00EB68DC"/>
    <w:rsid w:val="00EB6CFC"/>
    <w:rsid w:val="00EB72EB"/>
    <w:rsid w:val="00EC01B9"/>
    <w:rsid w:val="00EC298F"/>
    <w:rsid w:val="00EC37E3"/>
    <w:rsid w:val="00EC695F"/>
    <w:rsid w:val="00EC7808"/>
    <w:rsid w:val="00EC7E3B"/>
    <w:rsid w:val="00ED1014"/>
    <w:rsid w:val="00ED4817"/>
    <w:rsid w:val="00ED51DB"/>
    <w:rsid w:val="00ED5A10"/>
    <w:rsid w:val="00ED6648"/>
    <w:rsid w:val="00ED6696"/>
    <w:rsid w:val="00EE04EC"/>
    <w:rsid w:val="00EE34AA"/>
    <w:rsid w:val="00EE6DFD"/>
    <w:rsid w:val="00EE7DB5"/>
    <w:rsid w:val="00EF112D"/>
    <w:rsid w:val="00EF135D"/>
    <w:rsid w:val="00EF23E9"/>
    <w:rsid w:val="00EF452A"/>
    <w:rsid w:val="00EF73D6"/>
    <w:rsid w:val="00EF7E7E"/>
    <w:rsid w:val="00F00D1C"/>
    <w:rsid w:val="00F01810"/>
    <w:rsid w:val="00F03002"/>
    <w:rsid w:val="00F039A5"/>
    <w:rsid w:val="00F04900"/>
    <w:rsid w:val="00F050F6"/>
    <w:rsid w:val="00F05DA0"/>
    <w:rsid w:val="00F07E4A"/>
    <w:rsid w:val="00F12632"/>
    <w:rsid w:val="00F12C0C"/>
    <w:rsid w:val="00F14869"/>
    <w:rsid w:val="00F161B9"/>
    <w:rsid w:val="00F17839"/>
    <w:rsid w:val="00F17BE4"/>
    <w:rsid w:val="00F211A9"/>
    <w:rsid w:val="00F232F8"/>
    <w:rsid w:val="00F244E1"/>
    <w:rsid w:val="00F24B6F"/>
    <w:rsid w:val="00F26208"/>
    <w:rsid w:val="00F26717"/>
    <w:rsid w:val="00F30250"/>
    <w:rsid w:val="00F318F1"/>
    <w:rsid w:val="00F31D0F"/>
    <w:rsid w:val="00F32706"/>
    <w:rsid w:val="00F33C3B"/>
    <w:rsid w:val="00F36D62"/>
    <w:rsid w:val="00F37F47"/>
    <w:rsid w:val="00F410CD"/>
    <w:rsid w:val="00F41776"/>
    <w:rsid w:val="00F42C30"/>
    <w:rsid w:val="00F42C5E"/>
    <w:rsid w:val="00F441FB"/>
    <w:rsid w:val="00F45E25"/>
    <w:rsid w:val="00F465FE"/>
    <w:rsid w:val="00F46ACF"/>
    <w:rsid w:val="00F46EDA"/>
    <w:rsid w:val="00F478D8"/>
    <w:rsid w:val="00F50FE1"/>
    <w:rsid w:val="00F5153B"/>
    <w:rsid w:val="00F52F7C"/>
    <w:rsid w:val="00F557C9"/>
    <w:rsid w:val="00F562C9"/>
    <w:rsid w:val="00F57A81"/>
    <w:rsid w:val="00F628AE"/>
    <w:rsid w:val="00F63144"/>
    <w:rsid w:val="00F63473"/>
    <w:rsid w:val="00F63CE7"/>
    <w:rsid w:val="00F63D3D"/>
    <w:rsid w:val="00F6460C"/>
    <w:rsid w:val="00F66009"/>
    <w:rsid w:val="00F6618F"/>
    <w:rsid w:val="00F717A8"/>
    <w:rsid w:val="00F722A8"/>
    <w:rsid w:val="00F732E0"/>
    <w:rsid w:val="00F74878"/>
    <w:rsid w:val="00F774F3"/>
    <w:rsid w:val="00F80478"/>
    <w:rsid w:val="00F80EF1"/>
    <w:rsid w:val="00F813AA"/>
    <w:rsid w:val="00F82B6F"/>
    <w:rsid w:val="00F83692"/>
    <w:rsid w:val="00F83A2A"/>
    <w:rsid w:val="00F86739"/>
    <w:rsid w:val="00F86A33"/>
    <w:rsid w:val="00F86CD8"/>
    <w:rsid w:val="00F87020"/>
    <w:rsid w:val="00F91EA2"/>
    <w:rsid w:val="00F9236D"/>
    <w:rsid w:val="00F93217"/>
    <w:rsid w:val="00F950C8"/>
    <w:rsid w:val="00F95A40"/>
    <w:rsid w:val="00F960A0"/>
    <w:rsid w:val="00FA0EFF"/>
    <w:rsid w:val="00FA18F4"/>
    <w:rsid w:val="00FA3770"/>
    <w:rsid w:val="00FA50CA"/>
    <w:rsid w:val="00FA5E61"/>
    <w:rsid w:val="00FA65B7"/>
    <w:rsid w:val="00FA7A3C"/>
    <w:rsid w:val="00FB0802"/>
    <w:rsid w:val="00FB177B"/>
    <w:rsid w:val="00FB1EFB"/>
    <w:rsid w:val="00FB1FE6"/>
    <w:rsid w:val="00FB20FE"/>
    <w:rsid w:val="00FB3D6B"/>
    <w:rsid w:val="00FB44F1"/>
    <w:rsid w:val="00FB5304"/>
    <w:rsid w:val="00FB5397"/>
    <w:rsid w:val="00FB5B3E"/>
    <w:rsid w:val="00FB63DA"/>
    <w:rsid w:val="00FB6A0D"/>
    <w:rsid w:val="00FB6ECB"/>
    <w:rsid w:val="00FB7958"/>
    <w:rsid w:val="00FC0FCB"/>
    <w:rsid w:val="00FC2700"/>
    <w:rsid w:val="00FC2A9C"/>
    <w:rsid w:val="00FC3031"/>
    <w:rsid w:val="00FC52ED"/>
    <w:rsid w:val="00FC6CBC"/>
    <w:rsid w:val="00FC7415"/>
    <w:rsid w:val="00FC7421"/>
    <w:rsid w:val="00FD1EF9"/>
    <w:rsid w:val="00FD4359"/>
    <w:rsid w:val="00FD53B0"/>
    <w:rsid w:val="00FD6685"/>
    <w:rsid w:val="00FD6B7F"/>
    <w:rsid w:val="00FE277A"/>
    <w:rsid w:val="00FE3639"/>
    <w:rsid w:val="00FE4717"/>
    <w:rsid w:val="00FE4D1F"/>
    <w:rsid w:val="00FE5F16"/>
    <w:rsid w:val="00FF083C"/>
    <w:rsid w:val="00FF6E76"/>
    <w:rsid w:val="01220490"/>
    <w:rsid w:val="0254043C"/>
    <w:rsid w:val="03BA55FC"/>
    <w:rsid w:val="03DBD785"/>
    <w:rsid w:val="047840F2"/>
    <w:rsid w:val="0558EC62"/>
    <w:rsid w:val="064F6F65"/>
    <w:rsid w:val="0689D46E"/>
    <w:rsid w:val="06C17B96"/>
    <w:rsid w:val="06E4FD13"/>
    <w:rsid w:val="07DA9A22"/>
    <w:rsid w:val="081E5A54"/>
    <w:rsid w:val="0ADC2710"/>
    <w:rsid w:val="0B76042F"/>
    <w:rsid w:val="0C0EC780"/>
    <w:rsid w:val="0EC97F5C"/>
    <w:rsid w:val="0FC74E56"/>
    <w:rsid w:val="155AA131"/>
    <w:rsid w:val="15FF423B"/>
    <w:rsid w:val="16E83976"/>
    <w:rsid w:val="175FC6D6"/>
    <w:rsid w:val="18089FDC"/>
    <w:rsid w:val="1A342CA9"/>
    <w:rsid w:val="1A8D2B8E"/>
    <w:rsid w:val="1B71AA3A"/>
    <w:rsid w:val="1BF15A33"/>
    <w:rsid w:val="1C5B5B42"/>
    <w:rsid w:val="1C6BA9AA"/>
    <w:rsid w:val="1C71ED85"/>
    <w:rsid w:val="1D521F5E"/>
    <w:rsid w:val="1E00916C"/>
    <w:rsid w:val="1EC9CE4D"/>
    <w:rsid w:val="1F07BBC1"/>
    <w:rsid w:val="1FEFDEE4"/>
    <w:rsid w:val="24F3F3A6"/>
    <w:rsid w:val="260302D5"/>
    <w:rsid w:val="2623D22B"/>
    <w:rsid w:val="2677E759"/>
    <w:rsid w:val="26D51D9B"/>
    <w:rsid w:val="28B00D12"/>
    <w:rsid w:val="2AB80AB9"/>
    <w:rsid w:val="2B50DCBC"/>
    <w:rsid w:val="2C3743FB"/>
    <w:rsid w:val="2C72AB18"/>
    <w:rsid w:val="2CF7DE31"/>
    <w:rsid w:val="2DB4AD65"/>
    <w:rsid w:val="2DB4E939"/>
    <w:rsid w:val="2DB78ED7"/>
    <w:rsid w:val="2E49A464"/>
    <w:rsid w:val="2F389558"/>
    <w:rsid w:val="303B5446"/>
    <w:rsid w:val="30E59856"/>
    <w:rsid w:val="31111BC0"/>
    <w:rsid w:val="314EF03B"/>
    <w:rsid w:val="32D1FDB2"/>
    <w:rsid w:val="33576FC6"/>
    <w:rsid w:val="3443404D"/>
    <w:rsid w:val="357724C6"/>
    <w:rsid w:val="366CE88D"/>
    <w:rsid w:val="377A16F8"/>
    <w:rsid w:val="384B8F98"/>
    <w:rsid w:val="3A2907B0"/>
    <w:rsid w:val="3A433827"/>
    <w:rsid w:val="3AE201D0"/>
    <w:rsid w:val="3BA529E4"/>
    <w:rsid w:val="3CF79F09"/>
    <w:rsid w:val="3EDC11A2"/>
    <w:rsid w:val="3EFD101C"/>
    <w:rsid w:val="3F447115"/>
    <w:rsid w:val="3F98AB50"/>
    <w:rsid w:val="41298941"/>
    <w:rsid w:val="4269CA41"/>
    <w:rsid w:val="42BCDA42"/>
    <w:rsid w:val="42E52D65"/>
    <w:rsid w:val="4307172E"/>
    <w:rsid w:val="431F5CFC"/>
    <w:rsid w:val="441853AB"/>
    <w:rsid w:val="44947978"/>
    <w:rsid w:val="44DF5D86"/>
    <w:rsid w:val="46529CC2"/>
    <w:rsid w:val="46E59CA3"/>
    <w:rsid w:val="4705FD16"/>
    <w:rsid w:val="471C7551"/>
    <w:rsid w:val="472C13FB"/>
    <w:rsid w:val="4740FC4C"/>
    <w:rsid w:val="480C990F"/>
    <w:rsid w:val="496EF5AB"/>
    <w:rsid w:val="4C68DB87"/>
    <w:rsid w:val="4D7290D6"/>
    <w:rsid w:val="4D7FD0C3"/>
    <w:rsid w:val="4FC3F4D4"/>
    <w:rsid w:val="513D02CA"/>
    <w:rsid w:val="528CEBD0"/>
    <w:rsid w:val="559D7BBD"/>
    <w:rsid w:val="57D16499"/>
    <w:rsid w:val="58C66DAE"/>
    <w:rsid w:val="59BA7485"/>
    <w:rsid w:val="59FB8FBB"/>
    <w:rsid w:val="5A1FA060"/>
    <w:rsid w:val="5AB6E817"/>
    <w:rsid w:val="5E502FEE"/>
    <w:rsid w:val="5EB9B5D2"/>
    <w:rsid w:val="5F70C40D"/>
    <w:rsid w:val="5F94A3F9"/>
    <w:rsid w:val="6075B7AC"/>
    <w:rsid w:val="60834604"/>
    <w:rsid w:val="60B2429B"/>
    <w:rsid w:val="6165C78C"/>
    <w:rsid w:val="62C5CAC1"/>
    <w:rsid w:val="62F2D4C9"/>
    <w:rsid w:val="6384A2AC"/>
    <w:rsid w:val="644F4A51"/>
    <w:rsid w:val="647E1016"/>
    <w:rsid w:val="64DEF171"/>
    <w:rsid w:val="64FCEF78"/>
    <w:rsid w:val="65590D0B"/>
    <w:rsid w:val="6649C4AA"/>
    <w:rsid w:val="681E4CE8"/>
    <w:rsid w:val="68D1A4FD"/>
    <w:rsid w:val="691CF0C3"/>
    <w:rsid w:val="69DDD09C"/>
    <w:rsid w:val="6A81251D"/>
    <w:rsid w:val="6BE267FE"/>
    <w:rsid w:val="6CC53D44"/>
    <w:rsid w:val="6D29FDB7"/>
    <w:rsid w:val="6D5117FF"/>
    <w:rsid w:val="6DC732BA"/>
    <w:rsid w:val="72F3BFEE"/>
    <w:rsid w:val="74A4B838"/>
    <w:rsid w:val="753019F6"/>
    <w:rsid w:val="76F00B5C"/>
    <w:rsid w:val="77E3A176"/>
    <w:rsid w:val="793C82D3"/>
    <w:rsid w:val="794B077F"/>
    <w:rsid w:val="7BA5DB3F"/>
    <w:rsid w:val="7BF8FE47"/>
    <w:rsid w:val="7C31A892"/>
    <w:rsid w:val="7C5B0592"/>
    <w:rsid w:val="7CA98DCF"/>
    <w:rsid w:val="7CD7E0CC"/>
    <w:rsid w:val="7D8C9CD1"/>
    <w:rsid w:val="7E117446"/>
    <w:rsid w:val="7ED860F5"/>
    <w:rsid w:val="7F86999E"/>
    <w:rsid w:val="7F90FE51"/>
    <w:rsid w:val="7FF326A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548B1"/>
    <w:pPr>
      <w:spacing w:after="120" w:line="240" w:lineRule="auto"/>
      <w:jc w:val="both"/>
      <w:outlineLvl w:val="2"/>
    </w:pPr>
    <w:rPr>
      <w:color w:val="16191F"/>
      <w:sz w:val="20"/>
      <w:szCs w:val="20"/>
    </w:rPr>
  </w:style>
  <w:style w:styleId="Heading1" w:type="paragraph">
    <w:name w:val="heading 1"/>
    <w:basedOn w:val="Normal"/>
    <w:next w:val="Normal"/>
    <w:link w:val="Heading1Char"/>
    <w:uiPriority w:val="9"/>
    <w:qFormat/>
    <w:rsid w:val="00E72A96"/>
    <w:pPr>
      <w:keepNext/>
      <w:keepLines/>
      <w:spacing w:after="0" w:before="240"/>
      <w:outlineLvl w:val="0"/>
    </w:pPr>
    <w:rPr>
      <w:rFonts w:asciiTheme="majorHAnsi" w:cstheme="majorBidi" w:eastAsiaTheme="majorEastAsia" w:hAnsiTheme="majorHAnsi"/>
      <w:b/>
      <w:color w:themeColor="text1" w:val="000000"/>
      <w:sz w:val="28"/>
      <w:szCs w:val="32"/>
    </w:rPr>
  </w:style>
  <w:style w:styleId="Heading2" w:type="paragraph">
    <w:name w:val="heading 2"/>
    <w:basedOn w:val="Normal"/>
    <w:next w:val="Normal"/>
    <w:link w:val="Heading2Char"/>
    <w:uiPriority w:val="9"/>
    <w:unhideWhenUsed/>
    <w:qFormat/>
    <w:rsid w:val="00DB05A3"/>
    <w:pPr>
      <w:numPr>
        <w:numId w:val="31"/>
      </w:numPr>
      <w:pBdr>
        <w:bottom w:color="auto" w:space="1" w:sz="6" w:val="single"/>
      </w:pBdr>
      <w:spacing w:after="0" w:before="180"/>
      <w:outlineLvl w:val="1"/>
    </w:pPr>
    <w:rPr>
      <w:b/>
      <w:bCs/>
      <w:sz w:val="24"/>
      <w:szCs w:val="24"/>
    </w:rPr>
  </w:style>
  <w:style w:styleId="Heading3" w:type="paragraph">
    <w:name w:val="heading 3"/>
    <w:basedOn w:val="Normal"/>
    <w:link w:val="Heading3Char"/>
    <w:uiPriority w:val="9"/>
    <w:qFormat/>
    <w:rsid w:val="00880B2A"/>
    <w:pPr>
      <w:numPr>
        <w:ilvl w:val="1"/>
        <w:numId w:val="31"/>
      </w:numPr>
      <w:spacing w:after="0"/>
      <w:ind w:hanging="540" w:left="540"/>
    </w:pPr>
    <w:rPr>
      <w:b/>
      <w:bCs/>
    </w:rPr>
  </w:style>
  <w:style w:styleId="Heading4" w:type="paragraph">
    <w:name w:val="heading 4"/>
    <w:basedOn w:val="Heading3"/>
    <w:next w:val="Normal"/>
    <w:link w:val="Heading4Char"/>
    <w:uiPriority w:val="9"/>
    <w:unhideWhenUsed/>
    <w:qFormat/>
    <w:rsid w:val="00A71D6C"/>
    <w:pPr>
      <w:numPr>
        <w:ilvl w:val="2"/>
      </w:numPr>
      <w:outlineLvl w:val="3"/>
    </w:pPr>
  </w:style>
  <w:style w:styleId="Heading5" w:type="paragraph">
    <w:name w:val="heading 5"/>
    <w:basedOn w:val="Normal"/>
    <w:next w:val="Normal"/>
    <w:link w:val="Heading5Char"/>
    <w:uiPriority w:val="9"/>
    <w:unhideWhenUsed/>
    <w:qFormat/>
    <w:rsid w:val="00A06B39"/>
    <w:pPr>
      <w:keepNext/>
      <w:keepLines/>
      <w:spacing w:after="0" w:before="40"/>
      <w:outlineLvl w:val="4"/>
    </w:pPr>
    <w:rPr>
      <w:rFonts w:asciiTheme="majorHAnsi" w:cstheme="majorBidi" w:eastAsiaTheme="majorEastAsia" w:hAnsiTheme="majorHAnsi"/>
      <w:color w:themeColor="accent1" w:themeShade="BF" w:val="2F549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basedOn w:val="DefaultParagraphFont"/>
    <w:link w:val="Heading3"/>
    <w:uiPriority w:val="9"/>
    <w:rsid w:val="00880B2A"/>
    <w:rPr>
      <w:b/>
      <w:bCs/>
      <w:color w:val="16191F"/>
      <w:sz w:val="20"/>
      <w:szCs w:val="20"/>
    </w:rPr>
  </w:style>
  <w:style w:styleId="LineNumber" w:type="character">
    <w:name w:val="line number"/>
    <w:basedOn w:val="DefaultParagraphFont"/>
    <w:uiPriority w:val="99"/>
    <w:semiHidden/>
    <w:unhideWhenUsed/>
    <w:rsid w:val="00C665E2"/>
  </w:style>
  <w:style w:styleId="Hyperlink" w:type="character">
    <w:name w:val="Hyperlink"/>
    <w:basedOn w:val="DefaultParagraphFont"/>
    <w:uiPriority w:val="99"/>
    <w:unhideWhenUsed/>
    <w:rsid w:val="00C665E2"/>
    <w:rPr>
      <w:color w:val="0000FF"/>
      <w:u w:val="single"/>
    </w:rPr>
  </w:style>
  <w:style w:styleId="ListParagraph" w:type="paragraph">
    <w:name w:val="List Paragraph"/>
    <w:basedOn w:val="Normal"/>
    <w:uiPriority w:val="34"/>
    <w:qFormat/>
    <w:rsid w:val="00136F4E"/>
    <w:pPr>
      <w:ind w:left="720"/>
      <w:contextualSpacing/>
    </w:pPr>
  </w:style>
  <w:style w:styleId="CommentReference" w:type="character">
    <w:name w:val="annotation reference"/>
    <w:basedOn w:val="DefaultParagraphFont"/>
    <w:uiPriority w:val="99"/>
    <w:semiHidden/>
    <w:unhideWhenUsed/>
    <w:rsid w:val="006C391F"/>
    <w:rPr>
      <w:sz w:val="16"/>
      <w:szCs w:val="16"/>
    </w:rPr>
  </w:style>
  <w:style w:styleId="CommentText" w:type="paragraph">
    <w:name w:val="annotation text"/>
    <w:basedOn w:val="Normal"/>
    <w:link w:val="CommentTextChar"/>
    <w:uiPriority w:val="99"/>
    <w:unhideWhenUsed/>
    <w:rsid w:val="006C391F"/>
  </w:style>
  <w:style w:customStyle="1" w:styleId="CommentTextChar" w:type="character">
    <w:name w:val="Comment Text Char"/>
    <w:basedOn w:val="DefaultParagraphFont"/>
    <w:link w:val="CommentText"/>
    <w:uiPriority w:val="99"/>
    <w:rsid w:val="006C391F"/>
    <w:rPr>
      <w:sz w:val="20"/>
      <w:szCs w:val="20"/>
    </w:rPr>
  </w:style>
  <w:style w:styleId="CommentSubject" w:type="paragraph">
    <w:name w:val="annotation subject"/>
    <w:basedOn w:val="CommentText"/>
    <w:next w:val="CommentText"/>
    <w:link w:val="CommentSubjectChar"/>
    <w:uiPriority w:val="99"/>
    <w:semiHidden/>
    <w:unhideWhenUsed/>
    <w:rsid w:val="006C391F"/>
    <w:rPr>
      <w:b/>
      <w:bCs/>
    </w:rPr>
  </w:style>
  <w:style w:customStyle="1" w:styleId="CommentSubjectChar" w:type="character">
    <w:name w:val="Comment Subject Char"/>
    <w:basedOn w:val="CommentTextChar"/>
    <w:link w:val="CommentSubject"/>
    <w:uiPriority w:val="99"/>
    <w:semiHidden/>
    <w:rsid w:val="006C391F"/>
    <w:rPr>
      <w:b/>
      <w:bCs/>
      <w:sz w:val="20"/>
      <w:szCs w:val="20"/>
    </w:rPr>
  </w:style>
  <w:style w:styleId="BalloonText" w:type="paragraph">
    <w:name w:val="Balloon Text"/>
    <w:basedOn w:val="Normal"/>
    <w:link w:val="BalloonTextChar"/>
    <w:uiPriority w:val="99"/>
    <w:semiHidden/>
    <w:unhideWhenUsed/>
    <w:rsid w:val="006C391F"/>
    <w:pPr>
      <w:spacing w:after="0"/>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6C391F"/>
    <w:rPr>
      <w:rFonts w:ascii="Segoe UI" w:cs="Segoe UI" w:hAnsi="Segoe UI"/>
      <w:sz w:val="18"/>
      <w:szCs w:val="18"/>
    </w:rPr>
  </w:style>
  <w:style w:styleId="Revision" w:type="paragraph">
    <w:name w:val="Revision"/>
    <w:hidden/>
    <w:uiPriority w:val="99"/>
    <w:semiHidden/>
    <w:rsid w:val="00DF7EE4"/>
    <w:pPr>
      <w:spacing w:after="0" w:line="240" w:lineRule="auto"/>
    </w:pPr>
  </w:style>
  <w:style w:styleId="UnresolvedMention" w:type="character">
    <w:name w:val="Unresolved Mention"/>
    <w:basedOn w:val="DefaultParagraphFont"/>
    <w:uiPriority w:val="99"/>
    <w:semiHidden/>
    <w:unhideWhenUsed/>
    <w:rsid w:val="00532636"/>
    <w:rPr>
      <w:color w:val="605E5C"/>
      <w:shd w:color="auto" w:fill="E1DFDD" w:val="clear"/>
    </w:rPr>
  </w:style>
  <w:style w:styleId="FollowedHyperlink" w:type="character">
    <w:name w:val="FollowedHyperlink"/>
    <w:basedOn w:val="DefaultParagraphFont"/>
    <w:uiPriority w:val="99"/>
    <w:semiHidden/>
    <w:unhideWhenUsed/>
    <w:rsid w:val="00D6555B"/>
    <w:rPr>
      <w:color w:themeColor="followedHyperlink" w:val="954F72"/>
      <w:u w:val="single"/>
    </w:rPr>
  </w:style>
  <w:style w:styleId="Header" w:type="paragraph">
    <w:name w:val="header"/>
    <w:basedOn w:val="Normal"/>
    <w:link w:val="HeaderChar"/>
    <w:uiPriority w:val="99"/>
    <w:unhideWhenUsed/>
    <w:rsid w:val="00FC0FCB"/>
    <w:pPr>
      <w:tabs>
        <w:tab w:pos="4680" w:val="center"/>
        <w:tab w:pos="9360" w:val="right"/>
      </w:tabs>
      <w:spacing w:after="0"/>
    </w:pPr>
  </w:style>
  <w:style w:customStyle="1" w:styleId="HeaderChar" w:type="character">
    <w:name w:val="Header Char"/>
    <w:basedOn w:val="DefaultParagraphFont"/>
    <w:link w:val="Header"/>
    <w:uiPriority w:val="99"/>
    <w:rsid w:val="00FC0FCB"/>
    <w:rPr>
      <w:sz w:val="20"/>
      <w:szCs w:val="20"/>
    </w:rPr>
  </w:style>
  <w:style w:styleId="Footer" w:type="paragraph">
    <w:name w:val="footer"/>
    <w:basedOn w:val="Normal"/>
    <w:link w:val="FooterChar"/>
    <w:uiPriority w:val="99"/>
    <w:unhideWhenUsed/>
    <w:rsid w:val="00FC0FCB"/>
    <w:pPr>
      <w:tabs>
        <w:tab w:pos="4680" w:val="center"/>
        <w:tab w:pos="9360" w:val="right"/>
      </w:tabs>
      <w:spacing w:after="0"/>
    </w:pPr>
  </w:style>
  <w:style w:customStyle="1" w:styleId="FooterChar" w:type="character">
    <w:name w:val="Footer Char"/>
    <w:basedOn w:val="DefaultParagraphFont"/>
    <w:link w:val="Footer"/>
    <w:uiPriority w:val="99"/>
    <w:rsid w:val="00FC0FCB"/>
    <w:rPr>
      <w:sz w:val="20"/>
      <w:szCs w:val="20"/>
    </w:rPr>
  </w:style>
  <w:style w:styleId="PageNumber" w:type="character">
    <w:name w:val="page number"/>
    <w:basedOn w:val="DefaultParagraphFont"/>
    <w:uiPriority w:val="99"/>
    <w:semiHidden/>
    <w:unhideWhenUsed/>
    <w:rsid w:val="00DC244E"/>
  </w:style>
  <w:style w:styleId="TableGrid" w:type="table">
    <w:name w:val="Table Grid"/>
    <w:basedOn w:val="TableNormal"/>
    <w:uiPriority w:val="59"/>
    <w:rsid w:val="005D74D2"/>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GridTable1Light-Accent1" w:type="table">
    <w:name w:val="Grid Table 1 Light Accent 1"/>
    <w:basedOn w:val="TableNormal"/>
    <w:uiPriority w:val="46"/>
    <w:rsid w:val="005D74D2"/>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GridTable1Light" w:type="table">
    <w:name w:val="Grid Table 1 Light"/>
    <w:basedOn w:val="TableNormal"/>
    <w:uiPriority w:val="46"/>
    <w:rsid w:val="00AD25F2"/>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textrun" w:type="character">
    <w:name w:val="normaltextrun"/>
    <w:basedOn w:val="DefaultParagraphFont"/>
    <w:rsid w:val="00755A94"/>
  </w:style>
  <w:style w:customStyle="1" w:styleId="eop" w:type="character">
    <w:name w:val="eop"/>
    <w:basedOn w:val="DefaultParagraphFont"/>
    <w:rsid w:val="00755A94"/>
  </w:style>
  <w:style w:customStyle="1" w:styleId="Heading2Char" w:type="character">
    <w:name w:val="Heading 2 Char"/>
    <w:basedOn w:val="DefaultParagraphFont"/>
    <w:link w:val="Heading2"/>
    <w:uiPriority w:val="9"/>
    <w:rsid w:val="00DB05A3"/>
    <w:rPr>
      <w:b/>
      <w:bCs/>
      <w:sz w:val="24"/>
      <w:szCs w:val="24"/>
    </w:rPr>
  </w:style>
  <w:style w:customStyle="1" w:styleId="Heading4Char" w:type="character">
    <w:name w:val="Heading 4 Char"/>
    <w:basedOn w:val="DefaultParagraphFont"/>
    <w:link w:val="Heading4"/>
    <w:uiPriority w:val="9"/>
    <w:rsid w:val="00A71D6C"/>
    <w:rPr>
      <w:b/>
      <w:bCs/>
      <w:color w:val="16191F"/>
      <w:sz w:val="20"/>
      <w:szCs w:val="20"/>
    </w:rPr>
  </w:style>
  <w:style w:customStyle="1" w:styleId="Heading5Char" w:type="character">
    <w:name w:val="Heading 5 Char"/>
    <w:basedOn w:val="DefaultParagraphFont"/>
    <w:link w:val="Heading5"/>
    <w:uiPriority w:val="9"/>
    <w:rsid w:val="00A06B39"/>
    <w:rPr>
      <w:rFonts w:asciiTheme="majorHAnsi" w:cstheme="majorBidi" w:eastAsiaTheme="majorEastAsia" w:hAnsiTheme="majorHAnsi"/>
      <w:color w:themeColor="accent1" w:themeShade="BF" w:val="2F5496"/>
      <w:sz w:val="20"/>
      <w:szCs w:val="20"/>
    </w:rPr>
  </w:style>
  <w:style w:styleId="NormalWeb" w:type="paragraph">
    <w:name w:val="Normal (Web)"/>
    <w:basedOn w:val="Normal"/>
    <w:uiPriority w:val="99"/>
    <w:semiHidden/>
    <w:unhideWhenUsed/>
    <w:rsid w:val="00212B0E"/>
    <w:rPr>
      <w:rFonts w:ascii="Times New Roman" w:cs="Times New Roman" w:hAnsi="Times New Roman"/>
      <w:sz w:val="24"/>
      <w:szCs w:val="24"/>
    </w:rPr>
  </w:style>
  <w:style w:styleId="FootnoteText" w:type="paragraph">
    <w:name w:val="footnote text"/>
    <w:basedOn w:val="Normal"/>
    <w:link w:val="FootnoteTextChar"/>
    <w:uiPriority w:val="99"/>
    <w:semiHidden/>
    <w:unhideWhenUsed/>
    <w:rsid w:val="00D22053"/>
    <w:pPr>
      <w:spacing w:after="0"/>
    </w:pPr>
  </w:style>
  <w:style w:customStyle="1" w:styleId="FootnoteTextChar" w:type="character">
    <w:name w:val="Footnote Text Char"/>
    <w:basedOn w:val="DefaultParagraphFont"/>
    <w:link w:val="FootnoteText"/>
    <w:uiPriority w:val="99"/>
    <w:semiHidden/>
    <w:rsid w:val="00D22053"/>
    <w:rPr>
      <w:color w:val="16191F"/>
      <w:sz w:val="20"/>
      <w:szCs w:val="20"/>
    </w:rPr>
  </w:style>
  <w:style w:styleId="FootnoteReference" w:type="character">
    <w:name w:val="footnote reference"/>
    <w:basedOn w:val="DefaultParagraphFont"/>
    <w:uiPriority w:val="99"/>
    <w:semiHidden/>
    <w:unhideWhenUsed/>
    <w:rsid w:val="00D22053"/>
    <w:rPr>
      <w:vertAlign w:val="superscript"/>
    </w:rPr>
  </w:style>
  <w:style w:customStyle="1" w:styleId="CurrentList1" w:type="numbering">
    <w:name w:val="Current List1"/>
    <w:uiPriority w:val="99"/>
    <w:rsid w:val="00472D82"/>
    <w:pPr>
      <w:numPr>
        <w:numId w:val="72"/>
      </w:numPr>
    </w:pPr>
  </w:style>
  <w:style w:styleId="HTMLCode" w:type="character">
    <w:name w:val="HTML Code"/>
    <w:basedOn w:val="DefaultParagraphFont"/>
    <w:uiPriority w:val="99"/>
    <w:semiHidden/>
    <w:unhideWhenUsed/>
    <w:rsid w:val="007B40FD"/>
    <w:rPr>
      <w:rFonts w:ascii="Courier New" w:cs="Courier New" w:eastAsia="Times New Roman" w:hAnsi="Courier New"/>
      <w:sz w:val="20"/>
      <w:szCs w:val="20"/>
    </w:rPr>
  </w:style>
  <w:style w:customStyle="1" w:styleId="Heading1Char" w:type="character">
    <w:name w:val="Heading 1 Char"/>
    <w:basedOn w:val="DefaultParagraphFont"/>
    <w:link w:val="Heading1"/>
    <w:uiPriority w:val="9"/>
    <w:rsid w:val="00E72A96"/>
    <w:rPr>
      <w:rFonts w:asciiTheme="majorHAnsi" w:cstheme="majorBidi" w:eastAsiaTheme="majorEastAsia" w:hAnsiTheme="majorHAnsi"/>
      <w:b/>
      <w:color w:themeColor="text1" w:val="000000"/>
      <w:sz w:val="28"/>
      <w:szCs w:val="32"/>
    </w:rPr>
  </w:style>
  <w:style w:styleId="TableGridLight" w:type="table">
    <w:name w:val="Grid Table Light"/>
    <w:basedOn w:val="TableNormal"/>
    <w:uiPriority w:val="40"/>
    <w:rsid w:val="0008506C"/>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6278">
      <w:bodyDiv w:val="1"/>
      <w:marLeft w:val="0"/>
      <w:marRight w:val="0"/>
      <w:marTop w:val="0"/>
      <w:marBottom w:val="0"/>
      <w:divBdr>
        <w:top w:val="none" w:sz="0" w:space="0" w:color="auto"/>
        <w:left w:val="none" w:sz="0" w:space="0" w:color="auto"/>
        <w:bottom w:val="none" w:sz="0" w:space="0" w:color="auto"/>
        <w:right w:val="none" w:sz="0" w:space="0" w:color="auto"/>
      </w:divBdr>
    </w:div>
    <w:div w:id="21977229">
      <w:bodyDiv w:val="1"/>
      <w:marLeft w:val="0"/>
      <w:marRight w:val="0"/>
      <w:marTop w:val="0"/>
      <w:marBottom w:val="0"/>
      <w:divBdr>
        <w:top w:val="none" w:sz="0" w:space="0" w:color="auto"/>
        <w:left w:val="none" w:sz="0" w:space="0" w:color="auto"/>
        <w:bottom w:val="none" w:sz="0" w:space="0" w:color="auto"/>
        <w:right w:val="none" w:sz="0" w:space="0" w:color="auto"/>
      </w:divBdr>
    </w:div>
    <w:div w:id="27923563">
      <w:bodyDiv w:val="1"/>
      <w:marLeft w:val="0"/>
      <w:marRight w:val="0"/>
      <w:marTop w:val="0"/>
      <w:marBottom w:val="0"/>
      <w:divBdr>
        <w:top w:val="none" w:sz="0" w:space="0" w:color="auto"/>
        <w:left w:val="none" w:sz="0" w:space="0" w:color="auto"/>
        <w:bottom w:val="none" w:sz="0" w:space="0" w:color="auto"/>
        <w:right w:val="none" w:sz="0" w:space="0" w:color="auto"/>
      </w:divBdr>
    </w:div>
    <w:div w:id="38240095">
      <w:bodyDiv w:val="1"/>
      <w:marLeft w:val="0"/>
      <w:marRight w:val="0"/>
      <w:marTop w:val="0"/>
      <w:marBottom w:val="0"/>
      <w:divBdr>
        <w:top w:val="none" w:sz="0" w:space="0" w:color="auto"/>
        <w:left w:val="none" w:sz="0" w:space="0" w:color="auto"/>
        <w:bottom w:val="none" w:sz="0" w:space="0" w:color="auto"/>
        <w:right w:val="none" w:sz="0" w:space="0" w:color="auto"/>
      </w:divBdr>
    </w:div>
    <w:div w:id="40174132">
      <w:bodyDiv w:val="1"/>
      <w:marLeft w:val="0"/>
      <w:marRight w:val="0"/>
      <w:marTop w:val="0"/>
      <w:marBottom w:val="0"/>
      <w:divBdr>
        <w:top w:val="none" w:sz="0" w:space="0" w:color="auto"/>
        <w:left w:val="none" w:sz="0" w:space="0" w:color="auto"/>
        <w:bottom w:val="none" w:sz="0" w:space="0" w:color="auto"/>
        <w:right w:val="none" w:sz="0" w:space="0" w:color="auto"/>
      </w:divBdr>
    </w:div>
    <w:div w:id="47531064">
      <w:bodyDiv w:val="1"/>
      <w:marLeft w:val="0"/>
      <w:marRight w:val="0"/>
      <w:marTop w:val="0"/>
      <w:marBottom w:val="0"/>
      <w:divBdr>
        <w:top w:val="none" w:sz="0" w:space="0" w:color="auto"/>
        <w:left w:val="none" w:sz="0" w:space="0" w:color="auto"/>
        <w:bottom w:val="none" w:sz="0" w:space="0" w:color="auto"/>
        <w:right w:val="none" w:sz="0" w:space="0" w:color="auto"/>
      </w:divBdr>
    </w:div>
    <w:div w:id="68574847">
      <w:bodyDiv w:val="1"/>
      <w:marLeft w:val="0"/>
      <w:marRight w:val="0"/>
      <w:marTop w:val="0"/>
      <w:marBottom w:val="0"/>
      <w:divBdr>
        <w:top w:val="none" w:sz="0" w:space="0" w:color="auto"/>
        <w:left w:val="none" w:sz="0" w:space="0" w:color="auto"/>
        <w:bottom w:val="none" w:sz="0" w:space="0" w:color="auto"/>
        <w:right w:val="none" w:sz="0" w:space="0" w:color="auto"/>
      </w:divBdr>
    </w:div>
    <w:div w:id="72044181">
      <w:bodyDiv w:val="1"/>
      <w:marLeft w:val="0"/>
      <w:marRight w:val="0"/>
      <w:marTop w:val="0"/>
      <w:marBottom w:val="0"/>
      <w:divBdr>
        <w:top w:val="none" w:sz="0" w:space="0" w:color="auto"/>
        <w:left w:val="none" w:sz="0" w:space="0" w:color="auto"/>
        <w:bottom w:val="none" w:sz="0" w:space="0" w:color="auto"/>
        <w:right w:val="none" w:sz="0" w:space="0" w:color="auto"/>
      </w:divBdr>
    </w:div>
    <w:div w:id="90514939">
      <w:bodyDiv w:val="1"/>
      <w:marLeft w:val="0"/>
      <w:marRight w:val="0"/>
      <w:marTop w:val="0"/>
      <w:marBottom w:val="0"/>
      <w:divBdr>
        <w:top w:val="none" w:sz="0" w:space="0" w:color="auto"/>
        <w:left w:val="none" w:sz="0" w:space="0" w:color="auto"/>
        <w:bottom w:val="none" w:sz="0" w:space="0" w:color="auto"/>
        <w:right w:val="none" w:sz="0" w:space="0" w:color="auto"/>
      </w:divBdr>
    </w:div>
    <w:div w:id="92434527">
      <w:bodyDiv w:val="1"/>
      <w:marLeft w:val="0"/>
      <w:marRight w:val="0"/>
      <w:marTop w:val="0"/>
      <w:marBottom w:val="0"/>
      <w:divBdr>
        <w:top w:val="none" w:sz="0" w:space="0" w:color="auto"/>
        <w:left w:val="none" w:sz="0" w:space="0" w:color="auto"/>
        <w:bottom w:val="none" w:sz="0" w:space="0" w:color="auto"/>
        <w:right w:val="none" w:sz="0" w:space="0" w:color="auto"/>
      </w:divBdr>
    </w:div>
    <w:div w:id="106508336">
      <w:bodyDiv w:val="1"/>
      <w:marLeft w:val="0"/>
      <w:marRight w:val="0"/>
      <w:marTop w:val="0"/>
      <w:marBottom w:val="0"/>
      <w:divBdr>
        <w:top w:val="none" w:sz="0" w:space="0" w:color="auto"/>
        <w:left w:val="none" w:sz="0" w:space="0" w:color="auto"/>
        <w:bottom w:val="none" w:sz="0" w:space="0" w:color="auto"/>
        <w:right w:val="none" w:sz="0" w:space="0" w:color="auto"/>
      </w:divBdr>
      <w:divsChild>
        <w:div w:id="1736199190">
          <w:marLeft w:val="0"/>
          <w:marRight w:val="0"/>
          <w:marTop w:val="0"/>
          <w:marBottom w:val="0"/>
          <w:divBdr>
            <w:top w:val="none" w:sz="0" w:space="0" w:color="auto"/>
            <w:left w:val="none" w:sz="0" w:space="0" w:color="auto"/>
            <w:bottom w:val="none" w:sz="0" w:space="0" w:color="auto"/>
            <w:right w:val="none" w:sz="0" w:space="0" w:color="auto"/>
          </w:divBdr>
          <w:divsChild>
            <w:div w:id="874543579">
              <w:marLeft w:val="0"/>
              <w:marRight w:val="0"/>
              <w:marTop w:val="0"/>
              <w:marBottom w:val="0"/>
              <w:divBdr>
                <w:top w:val="none" w:sz="0" w:space="0" w:color="auto"/>
                <w:left w:val="none" w:sz="0" w:space="0" w:color="auto"/>
                <w:bottom w:val="none" w:sz="0" w:space="0" w:color="auto"/>
                <w:right w:val="none" w:sz="0" w:space="0" w:color="auto"/>
              </w:divBdr>
              <w:divsChild>
                <w:div w:id="1679187279">
                  <w:marLeft w:val="0"/>
                  <w:marRight w:val="0"/>
                  <w:marTop w:val="0"/>
                  <w:marBottom w:val="0"/>
                  <w:divBdr>
                    <w:top w:val="none" w:sz="0" w:space="0" w:color="auto"/>
                    <w:left w:val="none" w:sz="0" w:space="0" w:color="auto"/>
                    <w:bottom w:val="none" w:sz="0" w:space="0" w:color="auto"/>
                    <w:right w:val="none" w:sz="0" w:space="0" w:color="auto"/>
                  </w:divBdr>
                  <w:divsChild>
                    <w:div w:id="407922201">
                      <w:marLeft w:val="0"/>
                      <w:marRight w:val="0"/>
                      <w:marTop w:val="0"/>
                      <w:marBottom w:val="0"/>
                      <w:divBdr>
                        <w:top w:val="none" w:sz="0" w:space="0" w:color="auto"/>
                        <w:left w:val="none" w:sz="0" w:space="0" w:color="auto"/>
                        <w:bottom w:val="none" w:sz="0" w:space="0" w:color="auto"/>
                        <w:right w:val="none" w:sz="0" w:space="0" w:color="auto"/>
                      </w:divBdr>
                      <w:divsChild>
                        <w:div w:id="1379744649">
                          <w:marLeft w:val="0"/>
                          <w:marRight w:val="0"/>
                          <w:marTop w:val="0"/>
                          <w:marBottom w:val="0"/>
                          <w:divBdr>
                            <w:top w:val="none" w:sz="0" w:space="0" w:color="auto"/>
                            <w:left w:val="none" w:sz="0" w:space="0" w:color="auto"/>
                            <w:bottom w:val="none" w:sz="0" w:space="0" w:color="auto"/>
                            <w:right w:val="none" w:sz="0" w:space="0" w:color="auto"/>
                          </w:divBdr>
                          <w:divsChild>
                            <w:div w:id="316808756">
                              <w:marLeft w:val="-240"/>
                              <w:marRight w:val="-120"/>
                              <w:marTop w:val="0"/>
                              <w:marBottom w:val="0"/>
                              <w:divBdr>
                                <w:top w:val="none" w:sz="0" w:space="0" w:color="auto"/>
                                <w:left w:val="none" w:sz="0" w:space="0" w:color="auto"/>
                                <w:bottom w:val="none" w:sz="0" w:space="0" w:color="auto"/>
                                <w:right w:val="none" w:sz="0" w:space="0" w:color="auto"/>
                              </w:divBdr>
                              <w:divsChild>
                                <w:div w:id="1264650918">
                                  <w:marLeft w:val="0"/>
                                  <w:marRight w:val="0"/>
                                  <w:marTop w:val="0"/>
                                  <w:marBottom w:val="60"/>
                                  <w:divBdr>
                                    <w:top w:val="none" w:sz="0" w:space="0" w:color="auto"/>
                                    <w:left w:val="none" w:sz="0" w:space="0" w:color="auto"/>
                                    <w:bottom w:val="none" w:sz="0" w:space="0" w:color="auto"/>
                                    <w:right w:val="none" w:sz="0" w:space="0" w:color="auto"/>
                                  </w:divBdr>
                                  <w:divsChild>
                                    <w:div w:id="163474021">
                                      <w:marLeft w:val="0"/>
                                      <w:marRight w:val="0"/>
                                      <w:marTop w:val="0"/>
                                      <w:marBottom w:val="0"/>
                                      <w:divBdr>
                                        <w:top w:val="none" w:sz="0" w:space="0" w:color="auto"/>
                                        <w:left w:val="none" w:sz="0" w:space="0" w:color="auto"/>
                                        <w:bottom w:val="none" w:sz="0" w:space="0" w:color="auto"/>
                                        <w:right w:val="none" w:sz="0" w:space="0" w:color="auto"/>
                                      </w:divBdr>
                                      <w:divsChild>
                                        <w:div w:id="1139766107">
                                          <w:marLeft w:val="0"/>
                                          <w:marRight w:val="0"/>
                                          <w:marTop w:val="0"/>
                                          <w:marBottom w:val="0"/>
                                          <w:divBdr>
                                            <w:top w:val="none" w:sz="0" w:space="0" w:color="auto"/>
                                            <w:left w:val="none" w:sz="0" w:space="0" w:color="auto"/>
                                            <w:bottom w:val="none" w:sz="0" w:space="0" w:color="auto"/>
                                            <w:right w:val="none" w:sz="0" w:space="0" w:color="auto"/>
                                          </w:divBdr>
                                          <w:divsChild>
                                            <w:div w:id="1649823531">
                                              <w:marLeft w:val="0"/>
                                              <w:marRight w:val="0"/>
                                              <w:marTop w:val="0"/>
                                              <w:marBottom w:val="0"/>
                                              <w:divBdr>
                                                <w:top w:val="none" w:sz="0" w:space="0" w:color="auto"/>
                                                <w:left w:val="none" w:sz="0" w:space="0" w:color="auto"/>
                                                <w:bottom w:val="none" w:sz="0" w:space="0" w:color="auto"/>
                                                <w:right w:val="none" w:sz="0" w:space="0" w:color="auto"/>
                                              </w:divBdr>
                                              <w:divsChild>
                                                <w:div w:id="20993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67989">
          <w:marLeft w:val="0"/>
          <w:marRight w:val="0"/>
          <w:marTop w:val="0"/>
          <w:marBottom w:val="0"/>
          <w:divBdr>
            <w:top w:val="none" w:sz="0" w:space="0" w:color="auto"/>
            <w:left w:val="none" w:sz="0" w:space="0" w:color="auto"/>
            <w:bottom w:val="none" w:sz="0" w:space="0" w:color="auto"/>
            <w:right w:val="none" w:sz="0" w:space="0" w:color="auto"/>
          </w:divBdr>
          <w:divsChild>
            <w:div w:id="532613204">
              <w:marLeft w:val="0"/>
              <w:marRight w:val="0"/>
              <w:marTop w:val="0"/>
              <w:marBottom w:val="0"/>
              <w:divBdr>
                <w:top w:val="none" w:sz="0" w:space="0" w:color="auto"/>
                <w:left w:val="none" w:sz="0" w:space="0" w:color="auto"/>
                <w:bottom w:val="none" w:sz="0" w:space="0" w:color="auto"/>
                <w:right w:val="none" w:sz="0" w:space="0" w:color="auto"/>
              </w:divBdr>
              <w:divsChild>
                <w:div w:id="1718972468">
                  <w:marLeft w:val="0"/>
                  <w:marRight w:val="0"/>
                  <w:marTop w:val="0"/>
                  <w:marBottom w:val="0"/>
                  <w:divBdr>
                    <w:top w:val="none" w:sz="0" w:space="0" w:color="auto"/>
                    <w:left w:val="none" w:sz="0" w:space="0" w:color="auto"/>
                    <w:bottom w:val="none" w:sz="0" w:space="0" w:color="auto"/>
                    <w:right w:val="none" w:sz="0" w:space="0" w:color="auto"/>
                  </w:divBdr>
                  <w:divsChild>
                    <w:div w:id="432626697">
                      <w:marLeft w:val="0"/>
                      <w:marRight w:val="0"/>
                      <w:marTop w:val="0"/>
                      <w:marBottom w:val="0"/>
                      <w:divBdr>
                        <w:top w:val="none" w:sz="0" w:space="0" w:color="auto"/>
                        <w:left w:val="none" w:sz="0" w:space="0" w:color="auto"/>
                        <w:bottom w:val="none" w:sz="0" w:space="0" w:color="auto"/>
                        <w:right w:val="none" w:sz="0" w:space="0" w:color="auto"/>
                      </w:divBdr>
                      <w:divsChild>
                        <w:div w:id="1950963966">
                          <w:marLeft w:val="0"/>
                          <w:marRight w:val="0"/>
                          <w:marTop w:val="0"/>
                          <w:marBottom w:val="0"/>
                          <w:divBdr>
                            <w:top w:val="none" w:sz="0" w:space="0" w:color="auto"/>
                            <w:left w:val="none" w:sz="0" w:space="0" w:color="auto"/>
                            <w:bottom w:val="none" w:sz="0" w:space="0" w:color="auto"/>
                            <w:right w:val="none" w:sz="0" w:space="0" w:color="auto"/>
                          </w:divBdr>
                          <w:divsChild>
                            <w:div w:id="19651909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58021">
      <w:bodyDiv w:val="1"/>
      <w:marLeft w:val="0"/>
      <w:marRight w:val="0"/>
      <w:marTop w:val="0"/>
      <w:marBottom w:val="0"/>
      <w:divBdr>
        <w:top w:val="none" w:sz="0" w:space="0" w:color="auto"/>
        <w:left w:val="none" w:sz="0" w:space="0" w:color="auto"/>
        <w:bottom w:val="none" w:sz="0" w:space="0" w:color="auto"/>
        <w:right w:val="none" w:sz="0" w:space="0" w:color="auto"/>
      </w:divBdr>
    </w:div>
    <w:div w:id="109983554">
      <w:bodyDiv w:val="1"/>
      <w:marLeft w:val="0"/>
      <w:marRight w:val="0"/>
      <w:marTop w:val="0"/>
      <w:marBottom w:val="0"/>
      <w:divBdr>
        <w:top w:val="none" w:sz="0" w:space="0" w:color="auto"/>
        <w:left w:val="none" w:sz="0" w:space="0" w:color="auto"/>
        <w:bottom w:val="none" w:sz="0" w:space="0" w:color="auto"/>
        <w:right w:val="none" w:sz="0" w:space="0" w:color="auto"/>
      </w:divBdr>
    </w:div>
    <w:div w:id="111553862">
      <w:bodyDiv w:val="1"/>
      <w:marLeft w:val="0"/>
      <w:marRight w:val="0"/>
      <w:marTop w:val="0"/>
      <w:marBottom w:val="0"/>
      <w:divBdr>
        <w:top w:val="none" w:sz="0" w:space="0" w:color="auto"/>
        <w:left w:val="none" w:sz="0" w:space="0" w:color="auto"/>
        <w:bottom w:val="none" w:sz="0" w:space="0" w:color="auto"/>
        <w:right w:val="none" w:sz="0" w:space="0" w:color="auto"/>
      </w:divBdr>
    </w:div>
    <w:div w:id="122508671">
      <w:bodyDiv w:val="1"/>
      <w:marLeft w:val="0"/>
      <w:marRight w:val="0"/>
      <w:marTop w:val="0"/>
      <w:marBottom w:val="0"/>
      <w:divBdr>
        <w:top w:val="none" w:sz="0" w:space="0" w:color="auto"/>
        <w:left w:val="none" w:sz="0" w:space="0" w:color="auto"/>
        <w:bottom w:val="none" w:sz="0" w:space="0" w:color="auto"/>
        <w:right w:val="none" w:sz="0" w:space="0" w:color="auto"/>
      </w:divBdr>
    </w:div>
    <w:div w:id="123083954">
      <w:bodyDiv w:val="1"/>
      <w:marLeft w:val="0"/>
      <w:marRight w:val="0"/>
      <w:marTop w:val="0"/>
      <w:marBottom w:val="0"/>
      <w:divBdr>
        <w:top w:val="none" w:sz="0" w:space="0" w:color="auto"/>
        <w:left w:val="none" w:sz="0" w:space="0" w:color="auto"/>
        <w:bottom w:val="none" w:sz="0" w:space="0" w:color="auto"/>
        <w:right w:val="none" w:sz="0" w:space="0" w:color="auto"/>
      </w:divBdr>
    </w:div>
    <w:div w:id="127625350">
      <w:bodyDiv w:val="1"/>
      <w:marLeft w:val="0"/>
      <w:marRight w:val="0"/>
      <w:marTop w:val="0"/>
      <w:marBottom w:val="0"/>
      <w:divBdr>
        <w:top w:val="none" w:sz="0" w:space="0" w:color="auto"/>
        <w:left w:val="none" w:sz="0" w:space="0" w:color="auto"/>
        <w:bottom w:val="none" w:sz="0" w:space="0" w:color="auto"/>
        <w:right w:val="none" w:sz="0" w:space="0" w:color="auto"/>
      </w:divBdr>
    </w:div>
    <w:div w:id="133566073">
      <w:bodyDiv w:val="1"/>
      <w:marLeft w:val="0"/>
      <w:marRight w:val="0"/>
      <w:marTop w:val="0"/>
      <w:marBottom w:val="0"/>
      <w:divBdr>
        <w:top w:val="none" w:sz="0" w:space="0" w:color="auto"/>
        <w:left w:val="none" w:sz="0" w:space="0" w:color="auto"/>
        <w:bottom w:val="none" w:sz="0" w:space="0" w:color="auto"/>
        <w:right w:val="none" w:sz="0" w:space="0" w:color="auto"/>
      </w:divBdr>
    </w:div>
    <w:div w:id="173347843">
      <w:bodyDiv w:val="1"/>
      <w:marLeft w:val="0"/>
      <w:marRight w:val="0"/>
      <w:marTop w:val="0"/>
      <w:marBottom w:val="0"/>
      <w:divBdr>
        <w:top w:val="none" w:sz="0" w:space="0" w:color="auto"/>
        <w:left w:val="none" w:sz="0" w:space="0" w:color="auto"/>
        <w:bottom w:val="none" w:sz="0" w:space="0" w:color="auto"/>
        <w:right w:val="none" w:sz="0" w:space="0" w:color="auto"/>
      </w:divBdr>
    </w:div>
    <w:div w:id="200286878">
      <w:bodyDiv w:val="1"/>
      <w:marLeft w:val="0"/>
      <w:marRight w:val="0"/>
      <w:marTop w:val="0"/>
      <w:marBottom w:val="0"/>
      <w:divBdr>
        <w:top w:val="none" w:sz="0" w:space="0" w:color="auto"/>
        <w:left w:val="none" w:sz="0" w:space="0" w:color="auto"/>
        <w:bottom w:val="none" w:sz="0" w:space="0" w:color="auto"/>
        <w:right w:val="none" w:sz="0" w:space="0" w:color="auto"/>
      </w:divBdr>
    </w:div>
    <w:div w:id="216400988">
      <w:bodyDiv w:val="1"/>
      <w:marLeft w:val="0"/>
      <w:marRight w:val="0"/>
      <w:marTop w:val="0"/>
      <w:marBottom w:val="0"/>
      <w:divBdr>
        <w:top w:val="none" w:sz="0" w:space="0" w:color="auto"/>
        <w:left w:val="none" w:sz="0" w:space="0" w:color="auto"/>
        <w:bottom w:val="none" w:sz="0" w:space="0" w:color="auto"/>
        <w:right w:val="none" w:sz="0" w:space="0" w:color="auto"/>
      </w:divBdr>
    </w:div>
    <w:div w:id="218176185">
      <w:bodyDiv w:val="1"/>
      <w:marLeft w:val="0"/>
      <w:marRight w:val="0"/>
      <w:marTop w:val="0"/>
      <w:marBottom w:val="0"/>
      <w:divBdr>
        <w:top w:val="none" w:sz="0" w:space="0" w:color="auto"/>
        <w:left w:val="none" w:sz="0" w:space="0" w:color="auto"/>
        <w:bottom w:val="none" w:sz="0" w:space="0" w:color="auto"/>
        <w:right w:val="none" w:sz="0" w:space="0" w:color="auto"/>
      </w:divBdr>
    </w:div>
    <w:div w:id="250823565">
      <w:bodyDiv w:val="1"/>
      <w:marLeft w:val="0"/>
      <w:marRight w:val="0"/>
      <w:marTop w:val="0"/>
      <w:marBottom w:val="0"/>
      <w:divBdr>
        <w:top w:val="none" w:sz="0" w:space="0" w:color="auto"/>
        <w:left w:val="none" w:sz="0" w:space="0" w:color="auto"/>
        <w:bottom w:val="none" w:sz="0" w:space="0" w:color="auto"/>
        <w:right w:val="none" w:sz="0" w:space="0" w:color="auto"/>
      </w:divBdr>
    </w:div>
    <w:div w:id="264579260">
      <w:bodyDiv w:val="1"/>
      <w:marLeft w:val="0"/>
      <w:marRight w:val="0"/>
      <w:marTop w:val="0"/>
      <w:marBottom w:val="0"/>
      <w:divBdr>
        <w:top w:val="none" w:sz="0" w:space="0" w:color="auto"/>
        <w:left w:val="none" w:sz="0" w:space="0" w:color="auto"/>
        <w:bottom w:val="none" w:sz="0" w:space="0" w:color="auto"/>
        <w:right w:val="none" w:sz="0" w:space="0" w:color="auto"/>
      </w:divBdr>
    </w:div>
    <w:div w:id="285817844">
      <w:bodyDiv w:val="1"/>
      <w:marLeft w:val="0"/>
      <w:marRight w:val="0"/>
      <w:marTop w:val="0"/>
      <w:marBottom w:val="0"/>
      <w:divBdr>
        <w:top w:val="none" w:sz="0" w:space="0" w:color="auto"/>
        <w:left w:val="none" w:sz="0" w:space="0" w:color="auto"/>
        <w:bottom w:val="none" w:sz="0" w:space="0" w:color="auto"/>
        <w:right w:val="none" w:sz="0" w:space="0" w:color="auto"/>
      </w:divBdr>
    </w:div>
    <w:div w:id="287318006">
      <w:bodyDiv w:val="1"/>
      <w:marLeft w:val="0"/>
      <w:marRight w:val="0"/>
      <w:marTop w:val="0"/>
      <w:marBottom w:val="0"/>
      <w:divBdr>
        <w:top w:val="none" w:sz="0" w:space="0" w:color="auto"/>
        <w:left w:val="none" w:sz="0" w:space="0" w:color="auto"/>
        <w:bottom w:val="none" w:sz="0" w:space="0" w:color="auto"/>
        <w:right w:val="none" w:sz="0" w:space="0" w:color="auto"/>
      </w:divBdr>
    </w:div>
    <w:div w:id="291057029">
      <w:bodyDiv w:val="1"/>
      <w:marLeft w:val="0"/>
      <w:marRight w:val="0"/>
      <w:marTop w:val="0"/>
      <w:marBottom w:val="0"/>
      <w:divBdr>
        <w:top w:val="none" w:sz="0" w:space="0" w:color="auto"/>
        <w:left w:val="none" w:sz="0" w:space="0" w:color="auto"/>
        <w:bottom w:val="none" w:sz="0" w:space="0" w:color="auto"/>
        <w:right w:val="none" w:sz="0" w:space="0" w:color="auto"/>
      </w:divBdr>
    </w:div>
    <w:div w:id="291597249">
      <w:bodyDiv w:val="1"/>
      <w:marLeft w:val="0"/>
      <w:marRight w:val="0"/>
      <w:marTop w:val="0"/>
      <w:marBottom w:val="0"/>
      <w:divBdr>
        <w:top w:val="none" w:sz="0" w:space="0" w:color="auto"/>
        <w:left w:val="none" w:sz="0" w:space="0" w:color="auto"/>
        <w:bottom w:val="none" w:sz="0" w:space="0" w:color="auto"/>
        <w:right w:val="none" w:sz="0" w:space="0" w:color="auto"/>
      </w:divBdr>
    </w:div>
    <w:div w:id="297927225">
      <w:bodyDiv w:val="1"/>
      <w:marLeft w:val="0"/>
      <w:marRight w:val="0"/>
      <w:marTop w:val="0"/>
      <w:marBottom w:val="0"/>
      <w:divBdr>
        <w:top w:val="none" w:sz="0" w:space="0" w:color="auto"/>
        <w:left w:val="none" w:sz="0" w:space="0" w:color="auto"/>
        <w:bottom w:val="none" w:sz="0" w:space="0" w:color="auto"/>
        <w:right w:val="none" w:sz="0" w:space="0" w:color="auto"/>
      </w:divBdr>
    </w:div>
    <w:div w:id="298144897">
      <w:bodyDiv w:val="1"/>
      <w:marLeft w:val="0"/>
      <w:marRight w:val="0"/>
      <w:marTop w:val="0"/>
      <w:marBottom w:val="0"/>
      <w:divBdr>
        <w:top w:val="none" w:sz="0" w:space="0" w:color="auto"/>
        <w:left w:val="none" w:sz="0" w:space="0" w:color="auto"/>
        <w:bottom w:val="none" w:sz="0" w:space="0" w:color="auto"/>
        <w:right w:val="none" w:sz="0" w:space="0" w:color="auto"/>
      </w:divBdr>
    </w:div>
    <w:div w:id="335692777">
      <w:bodyDiv w:val="1"/>
      <w:marLeft w:val="0"/>
      <w:marRight w:val="0"/>
      <w:marTop w:val="0"/>
      <w:marBottom w:val="0"/>
      <w:divBdr>
        <w:top w:val="none" w:sz="0" w:space="0" w:color="auto"/>
        <w:left w:val="none" w:sz="0" w:space="0" w:color="auto"/>
        <w:bottom w:val="none" w:sz="0" w:space="0" w:color="auto"/>
        <w:right w:val="none" w:sz="0" w:space="0" w:color="auto"/>
      </w:divBdr>
    </w:div>
    <w:div w:id="363407058">
      <w:bodyDiv w:val="1"/>
      <w:marLeft w:val="0"/>
      <w:marRight w:val="0"/>
      <w:marTop w:val="0"/>
      <w:marBottom w:val="0"/>
      <w:divBdr>
        <w:top w:val="none" w:sz="0" w:space="0" w:color="auto"/>
        <w:left w:val="none" w:sz="0" w:space="0" w:color="auto"/>
        <w:bottom w:val="none" w:sz="0" w:space="0" w:color="auto"/>
        <w:right w:val="none" w:sz="0" w:space="0" w:color="auto"/>
      </w:divBdr>
    </w:div>
    <w:div w:id="385185337">
      <w:bodyDiv w:val="1"/>
      <w:marLeft w:val="0"/>
      <w:marRight w:val="0"/>
      <w:marTop w:val="0"/>
      <w:marBottom w:val="0"/>
      <w:divBdr>
        <w:top w:val="none" w:sz="0" w:space="0" w:color="auto"/>
        <w:left w:val="none" w:sz="0" w:space="0" w:color="auto"/>
        <w:bottom w:val="none" w:sz="0" w:space="0" w:color="auto"/>
        <w:right w:val="none" w:sz="0" w:space="0" w:color="auto"/>
      </w:divBdr>
    </w:div>
    <w:div w:id="418528200">
      <w:bodyDiv w:val="1"/>
      <w:marLeft w:val="0"/>
      <w:marRight w:val="0"/>
      <w:marTop w:val="0"/>
      <w:marBottom w:val="0"/>
      <w:divBdr>
        <w:top w:val="none" w:sz="0" w:space="0" w:color="auto"/>
        <w:left w:val="none" w:sz="0" w:space="0" w:color="auto"/>
        <w:bottom w:val="none" w:sz="0" w:space="0" w:color="auto"/>
        <w:right w:val="none" w:sz="0" w:space="0" w:color="auto"/>
      </w:divBdr>
    </w:div>
    <w:div w:id="421144358">
      <w:bodyDiv w:val="1"/>
      <w:marLeft w:val="0"/>
      <w:marRight w:val="0"/>
      <w:marTop w:val="0"/>
      <w:marBottom w:val="0"/>
      <w:divBdr>
        <w:top w:val="none" w:sz="0" w:space="0" w:color="auto"/>
        <w:left w:val="none" w:sz="0" w:space="0" w:color="auto"/>
        <w:bottom w:val="none" w:sz="0" w:space="0" w:color="auto"/>
        <w:right w:val="none" w:sz="0" w:space="0" w:color="auto"/>
      </w:divBdr>
    </w:div>
    <w:div w:id="432866533">
      <w:bodyDiv w:val="1"/>
      <w:marLeft w:val="0"/>
      <w:marRight w:val="0"/>
      <w:marTop w:val="0"/>
      <w:marBottom w:val="0"/>
      <w:divBdr>
        <w:top w:val="none" w:sz="0" w:space="0" w:color="auto"/>
        <w:left w:val="none" w:sz="0" w:space="0" w:color="auto"/>
        <w:bottom w:val="none" w:sz="0" w:space="0" w:color="auto"/>
        <w:right w:val="none" w:sz="0" w:space="0" w:color="auto"/>
      </w:divBdr>
      <w:divsChild>
        <w:div w:id="119569083">
          <w:marLeft w:val="0"/>
          <w:marRight w:val="0"/>
          <w:marTop w:val="0"/>
          <w:marBottom w:val="0"/>
          <w:divBdr>
            <w:top w:val="none" w:sz="0" w:space="0" w:color="auto"/>
            <w:left w:val="none" w:sz="0" w:space="0" w:color="auto"/>
            <w:bottom w:val="none" w:sz="0" w:space="0" w:color="auto"/>
            <w:right w:val="none" w:sz="0" w:space="0" w:color="auto"/>
          </w:divBdr>
          <w:divsChild>
            <w:div w:id="140126161">
              <w:marLeft w:val="0"/>
              <w:marRight w:val="0"/>
              <w:marTop w:val="0"/>
              <w:marBottom w:val="0"/>
              <w:divBdr>
                <w:top w:val="none" w:sz="0" w:space="0" w:color="auto"/>
                <w:left w:val="none" w:sz="0" w:space="0" w:color="auto"/>
                <w:bottom w:val="none" w:sz="0" w:space="0" w:color="auto"/>
                <w:right w:val="none" w:sz="0" w:space="0" w:color="auto"/>
              </w:divBdr>
              <w:divsChild>
                <w:div w:id="379403825">
                  <w:marLeft w:val="0"/>
                  <w:marRight w:val="0"/>
                  <w:marTop w:val="0"/>
                  <w:marBottom w:val="0"/>
                  <w:divBdr>
                    <w:top w:val="none" w:sz="0" w:space="0" w:color="auto"/>
                    <w:left w:val="none" w:sz="0" w:space="0" w:color="auto"/>
                    <w:bottom w:val="none" w:sz="0" w:space="0" w:color="auto"/>
                    <w:right w:val="none" w:sz="0" w:space="0" w:color="auto"/>
                  </w:divBdr>
                  <w:divsChild>
                    <w:div w:id="479730123">
                      <w:marLeft w:val="0"/>
                      <w:marRight w:val="0"/>
                      <w:marTop w:val="0"/>
                      <w:marBottom w:val="0"/>
                      <w:divBdr>
                        <w:top w:val="none" w:sz="0" w:space="0" w:color="auto"/>
                        <w:left w:val="none" w:sz="0" w:space="0" w:color="auto"/>
                        <w:bottom w:val="none" w:sz="0" w:space="0" w:color="auto"/>
                        <w:right w:val="none" w:sz="0" w:space="0" w:color="auto"/>
                      </w:divBdr>
                      <w:divsChild>
                        <w:div w:id="194580719">
                          <w:marLeft w:val="0"/>
                          <w:marRight w:val="0"/>
                          <w:marTop w:val="0"/>
                          <w:marBottom w:val="0"/>
                          <w:divBdr>
                            <w:top w:val="none" w:sz="0" w:space="0" w:color="auto"/>
                            <w:left w:val="none" w:sz="0" w:space="0" w:color="auto"/>
                            <w:bottom w:val="none" w:sz="0" w:space="0" w:color="auto"/>
                            <w:right w:val="none" w:sz="0" w:space="0" w:color="auto"/>
                          </w:divBdr>
                          <w:divsChild>
                            <w:div w:id="2026980614">
                              <w:marLeft w:val="-240"/>
                              <w:marRight w:val="-120"/>
                              <w:marTop w:val="0"/>
                              <w:marBottom w:val="0"/>
                              <w:divBdr>
                                <w:top w:val="none" w:sz="0" w:space="0" w:color="auto"/>
                                <w:left w:val="none" w:sz="0" w:space="0" w:color="auto"/>
                                <w:bottom w:val="none" w:sz="0" w:space="0" w:color="auto"/>
                                <w:right w:val="none" w:sz="0" w:space="0" w:color="auto"/>
                              </w:divBdr>
                              <w:divsChild>
                                <w:div w:id="1249582575">
                                  <w:marLeft w:val="0"/>
                                  <w:marRight w:val="0"/>
                                  <w:marTop w:val="0"/>
                                  <w:marBottom w:val="60"/>
                                  <w:divBdr>
                                    <w:top w:val="none" w:sz="0" w:space="0" w:color="auto"/>
                                    <w:left w:val="none" w:sz="0" w:space="0" w:color="auto"/>
                                    <w:bottom w:val="none" w:sz="0" w:space="0" w:color="auto"/>
                                    <w:right w:val="none" w:sz="0" w:space="0" w:color="auto"/>
                                  </w:divBdr>
                                  <w:divsChild>
                                    <w:div w:id="328366174">
                                      <w:marLeft w:val="0"/>
                                      <w:marRight w:val="0"/>
                                      <w:marTop w:val="0"/>
                                      <w:marBottom w:val="0"/>
                                      <w:divBdr>
                                        <w:top w:val="none" w:sz="0" w:space="0" w:color="auto"/>
                                        <w:left w:val="none" w:sz="0" w:space="0" w:color="auto"/>
                                        <w:bottom w:val="none" w:sz="0" w:space="0" w:color="auto"/>
                                        <w:right w:val="none" w:sz="0" w:space="0" w:color="auto"/>
                                      </w:divBdr>
                                      <w:divsChild>
                                        <w:div w:id="1367218335">
                                          <w:marLeft w:val="0"/>
                                          <w:marRight w:val="0"/>
                                          <w:marTop w:val="0"/>
                                          <w:marBottom w:val="0"/>
                                          <w:divBdr>
                                            <w:top w:val="none" w:sz="0" w:space="0" w:color="auto"/>
                                            <w:left w:val="none" w:sz="0" w:space="0" w:color="auto"/>
                                            <w:bottom w:val="none" w:sz="0" w:space="0" w:color="auto"/>
                                            <w:right w:val="none" w:sz="0" w:space="0" w:color="auto"/>
                                          </w:divBdr>
                                          <w:divsChild>
                                            <w:div w:id="687566898">
                                              <w:marLeft w:val="0"/>
                                              <w:marRight w:val="0"/>
                                              <w:marTop w:val="0"/>
                                              <w:marBottom w:val="0"/>
                                              <w:divBdr>
                                                <w:top w:val="none" w:sz="0" w:space="0" w:color="auto"/>
                                                <w:left w:val="none" w:sz="0" w:space="0" w:color="auto"/>
                                                <w:bottom w:val="none" w:sz="0" w:space="0" w:color="auto"/>
                                                <w:right w:val="none" w:sz="0" w:space="0" w:color="auto"/>
                                              </w:divBdr>
                                              <w:divsChild>
                                                <w:div w:id="2358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4967010">
          <w:marLeft w:val="0"/>
          <w:marRight w:val="0"/>
          <w:marTop w:val="0"/>
          <w:marBottom w:val="0"/>
          <w:divBdr>
            <w:top w:val="none" w:sz="0" w:space="0" w:color="auto"/>
            <w:left w:val="none" w:sz="0" w:space="0" w:color="auto"/>
            <w:bottom w:val="none" w:sz="0" w:space="0" w:color="auto"/>
            <w:right w:val="none" w:sz="0" w:space="0" w:color="auto"/>
          </w:divBdr>
          <w:divsChild>
            <w:div w:id="716468625">
              <w:marLeft w:val="0"/>
              <w:marRight w:val="0"/>
              <w:marTop w:val="0"/>
              <w:marBottom w:val="0"/>
              <w:divBdr>
                <w:top w:val="none" w:sz="0" w:space="0" w:color="auto"/>
                <w:left w:val="none" w:sz="0" w:space="0" w:color="auto"/>
                <w:bottom w:val="none" w:sz="0" w:space="0" w:color="auto"/>
                <w:right w:val="none" w:sz="0" w:space="0" w:color="auto"/>
              </w:divBdr>
              <w:divsChild>
                <w:div w:id="1443456715">
                  <w:marLeft w:val="0"/>
                  <w:marRight w:val="0"/>
                  <w:marTop w:val="0"/>
                  <w:marBottom w:val="0"/>
                  <w:divBdr>
                    <w:top w:val="none" w:sz="0" w:space="0" w:color="auto"/>
                    <w:left w:val="none" w:sz="0" w:space="0" w:color="auto"/>
                    <w:bottom w:val="none" w:sz="0" w:space="0" w:color="auto"/>
                    <w:right w:val="none" w:sz="0" w:space="0" w:color="auto"/>
                  </w:divBdr>
                  <w:divsChild>
                    <w:div w:id="724916516">
                      <w:marLeft w:val="0"/>
                      <w:marRight w:val="0"/>
                      <w:marTop w:val="0"/>
                      <w:marBottom w:val="0"/>
                      <w:divBdr>
                        <w:top w:val="none" w:sz="0" w:space="0" w:color="auto"/>
                        <w:left w:val="none" w:sz="0" w:space="0" w:color="auto"/>
                        <w:bottom w:val="none" w:sz="0" w:space="0" w:color="auto"/>
                        <w:right w:val="none" w:sz="0" w:space="0" w:color="auto"/>
                      </w:divBdr>
                      <w:divsChild>
                        <w:div w:id="694159291">
                          <w:marLeft w:val="0"/>
                          <w:marRight w:val="0"/>
                          <w:marTop w:val="0"/>
                          <w:marBottom w:val="0"/>
                          <w:divBdr>
                            <w:top w:val="none" w:sz="0" w:space="0" w:color="auto"/>
                            <w:left w:val="none" w:sz="0" w:space="0" w:color="auto"/>
                            <w:bottom w:val="none" w:sz="0" w:space="0" w:color="auto"/>
                            <w:right w:val="none" w:sz="0" w:space="0" w:color="auto"/>
                          </w:divBdr>
                          <w:divsChild>
                            <w:div w:id="385589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952161">
      <w:bodyDiv w:val="1"/>
      <w:marLeft w:val="0"/>
      <w:marRight w:val="0"/>
      <w:marTop w:val="0"/>
      <w:marBottom w:val="0"/>
      <w:divBdr>
        <w:top w:val="none" w:sz="0" w:space="0" w:color="auto"/>
        <w:left w:val="none" w:sz="0" w:space="0" w:color="auto"/>
        <w:bottom w:val="none" w:sz="0" w:space="0" w:color="auto"/>
        <w:right w:val="none" w:sz="0" w:space="0" w:color="auto"/>
      </w:divBdr>
    </w:div>
    <w:div w:id="465707321">
      <w:bodyDiv w:val="1"/>
      <w:marLeft w:val="0"/>
      <w:marRight w:val="0"/>
      <w:marTop w:val="0"/>
      <w:marBottom w:val="0"/>
      <w:divBdr>
        <w:top w:val="none" w:sz="0" w:space="0" w:color="auto"/>
        <w:left w:val="none" w:sz="0" w:space="0" w:color="auto"/>
        <w:bottom w:val="none" w:sz="0" w:space="0" w:color="auto"/>
        <w:right w:val="none" w:sz="0" w:space="0" w:color="auto"/>
      </w:divBdr>
    </w:div>
    <w:div w:id="471096512">
      <w:bodyDiv w:val="1"/>
      <w:marLeft w:val="0"/>
      <w:marRight w:val="0"/>
      <w:marTop w:val="0"/>
      <w:marBottom w:val="0"/>
      <w:divBdr>
        <w:top w:val="none" w:sz="0" w:space="0" w:color="auto"/>
        <w:left w:val="none" w:sz="0" w:space="0" w:color="auto"/>
        <w:bottom w:val="none" w:sz="0" w:space="0" w:color="auto"/>
        <w:right w:val="none" w:sz="0" w:space="0" w:color="auto"/>
      </w:divBdr>
    </w:div>
    <w:div w:id="488525507">
      <w:bodyDiv w:val="1"/>
      <w:marLeft w:val="0"/>
      <w:marRight w:val="0"/>
      <w:marTop w:val="0"/>
      <w:marBottom w:val="0"/>
      <w:divBdr>
        <w:top w:val="none" w:sz="0" w:space="0" w:color="auto"/>
        <w:left w:val="none" w:sz="0" w:space="0" w:color="auto"/>
        <w:bottom w:val="none" w:sz="0" w:space="0" w:color="auto"/>
        <w:right w:val="none" w:sz="0" w:space="0" w:color="auto"/>
      </w:divBdr>
    </w:div>
    <w:div w:id="499858077">
      <w:bodyDiv w:val="1"/>
      <w:marLeft w:val="0"/>
      <w:marRight w:val="0"/>
      <w:marTop w:val="0"/>
      <w:marBottom w:val="0"/>
      <w:divBdr>
        <w:top w:val="none" w:sz="0" w:space="0" w:color="auto"/>
        <w:left w:val="none" w:sz="0" w:space="0" w:color="auto"/>
        <w:bottom w:val="none" w:sz="0" w:space="0" w:color="auto"/>
        <w:right w:val="none" w:sz="0" w:space="0" w:color="auto"/>
      </w:divBdr>
    </w:div>
    <w:div w:id="504634686">
      <w:bodyDiv w:val="1"/>
      <w:marLeft w:val="0"/>
      <w:marRight w:val="0"/>
      <w:marTop w:val="0"/>
      <w:marBottom w:val="0"/>
      <w:divBdr>
        <w:top w:val="none" w:sz="0" w:space="0" w:color="auto"/>
        <w:left w:val="none" w:sz="0" w:space="0" w:color="auto"/>
        <w:bottom w:val="none" w:sz="0" w:space="0" w:color="auto"/>
        <w:right w:val="none" w:sz="0" w:space="0" w:color="auto"/>
      </w:divBdr>
    </w:div>
    <w:div w:id="506865008">
      <w:bodyDiv w:val="1"/>
      <w:marLeft w:val="0"/>
      <w:marRight w:val="0"/>
      <w:marTop w:val="0"/>
      <w:marBottom w:val="0"/>
      <w:divBdr>
        <w:top w:val="none" w:sz="0" w:space="0" w:color="auto"/>
        <w:left w:val="none" w:sz="0" w:space="0" w:color="auto"/>
        <w:bottom w:val="none" w:sz="0" w:space="0" w:color="auto"/>
        <w:right w:val="none" w:sz="0" w:space="0" w:color="auto"/>
      </w:divBdr>
    </w:div>
    <w:div w:id="514617184">
      <w:bodyDiv w:val="1"/>
      <w:marLeft w:val="0"/>
      <w:marRight w:val="0"/>
      <w:marTop w:val="0"/>
      <w:marBottom w:val="0"/>
      <w:divBdr>
        <w:top w:val="none" w:sz="0" w:space="0" w:color="auto"/>
        <w:left w:val="none" w:sz="0" w:space="0" w:color="auto"/>
        <w:bottom w:val="none" w:sz="0" w:space="0" w:color="auto"/>
        <w:right w:val="none" w:sz="0" w:space="0" w:color="auto"/>
      </w:divBdr>
    </w:div>
    <w:div w:id="532153353">
      <w:bodyDiv w:val="1"/>
      <w:marLeft w:val="0"/>
      <w:marRight w:val="0"/>
      <w:marTop w:val="0"/>
      <w:marBottom w:val="0"/>
      <w:divBdr>
        <w:top w:val="none" w:sz="0" w:space="0" w:color="auto"/>
        <w:left w:val="none" w:sz="0" w:space="0" w:color="auto"/>
        <w:bottom w:val="none" w:sz="0" w:space="0" w:color="auto"/>
        <w:right w:val="none" w:sz="0" w:space="0" w:color="auto"/>
      </w:divBdr>
    </w:div>
    <w:div w:id="532809901">
      <w:bodyDiv w:val="1"/>
      <w:marLeft w:val="0"/>
      <w:marRight w:val="0"/>
      <w:marTop w:val="0"/>
      <w:marBottom w:val="0"/>
      <w:divBdr>
        <w:top w:val="none" w:sz="0" w:space="0" w:color="auto"/>
        <w:left w:val="none" w:sz="0" w:space="0" w:color="auto"/>
        <w:bottom w:val="none" w:sz="0" w:space="0" w:color="auto"/>
        <w:right w:val="none" w:sz="0" w:space="0" w:color="auto"/>
      </w:divBdr>
    </w:div>
    <w:div w:id="537158230">
      <w:bodyDiv w:val="1"/>
      <w:marLeft w:val="0"/>
      <w:marRight w:val="0"/>
      <w:marTop w:val="0"/>
      <w:marBottom w:val="0"/>
      <w:divBdr>
        <w:top w:val="none" w:sz="0" w:space="0" w:color="auto"/>
        <w:left w:val="none" w:sz="0" w:space="0" w:color="auto"/>
        <w:bottom w:val="none" w:sz="0" w:space="0" w:color="auto"/>
        <w:right w:val="none" w:sz="0" w:space="0" w:color="auto"/>
      </w:divBdr>
    </w:div>
    <w:div w:id="554702600">
      <w:bodyDiv w:val="1"/>
      <w:marLeft w:val="0"/>
      <w:marRight w:val="0"/>
      <w:marTop w:val="0"/>
      <w:marBottom w:val="0"/>
      <w:divBdr>
        <w:top w:val="none" w:sz="0" w:space="0" w:color="auto"/>
        <w:left w:val="none" w:sz="0" w:space="0" w:color="auto"/>
        <w:bottom w:val="none" w:sz="0" w:space="0" w:color="auto"/>
        <w:right w:val="none" w:sz="0" w:space="0" w:color="auto"/>
      </w:divBdr>
    </w:div>
    <w:div w:id="579214279">
      <w:bodyDiv w:val="1"/>
      <w:marLeft w:val="0"/>
      <w:marRight w:val="0"/>
      <w:marTop w:val="0"/>
      <w:marBottom w:val="0"/>
      <w:divBdr>
        <w:top w:val="none" w:sz="0" w:space="0" w:color="auto"/>
        <w:left w:val="none" w:sz="0" w:space="0" w:color="auto"/>
        <w:bottom w:val="none" w:sz="0" w:space="0" w:color="auto"/>
        <w:right w:val="none" w:sz="0" w:space="0" w:color="auto"/>
      </w:divBdr>
    </w:div>
    <w:div w:id="617876178">
      <w:bodyDiv w:val="1"/>
      <w:marLeft w:val="0"/>
      <w:marRight w:val="0"/>
      <w:marTop w:val="0"/>
      <w:marBottom w:val="0"/>
      <w:divBdr>
        <w:top w:val="none" w:sz="0" w:space="0" w:color="auto"/>
        <w:left w:val="none" w:sz="0" w:space="0" w:color="auto"/>
        <w:bottom w:val="none" w:sz="0" w:space="0" w:color="auto"/>
        <w:right w:val="none" w:sz="0" w:space="0" w:color="auto"/>
      </w:divBdr>
    </w:div>
    <w:div w:id="641614325">
      <w:bodyDiv w:val="1"/>
      <w:marLeft w:val="0"/>
      <w:marRight w:val="0"/>
      <w:marTop w:val="0"/>
      <w:marBottom w:val="0"/>
      <w:divBdr>
        <w:top w:val="none" w:sz="0" w:space="0" w:color="auto"/>
        <w:left w:val="none" w:sz="0" w:space="0" w:color="auto"/>
        <w:bottom w:val="none" w:sz="0" w:space="0" w:color="auto"/>
        <w:right w:val="none" w:sz="0" w:space="0" w:color="auto"/>
      </w:divBdr>
    </w:div>
    <w:div w:id="646589137">
      <w:bodyDiv w:val="1"/>
      <w:marLeft w:val="0"/>
      <w:marRight w:val="0"/>
      <w:marTop w:val="0"/>
      <w:marBottom w:val="0"/>
      <w:divBdr>
        <w:top w:val="none" w:sz="0" w:space="0" w:color="auto"/>
        <w:left w:val="none" w:sz="0" w:space="0" w:color="auto"/>
        <w:bottom w:val="none" w:sz="0" w:space="0" w:color="auto"/>
        <w:right w:val="none" w:sz="0" w:space="0" w:color="auto"/>
      </w:divBdr>
    </w:div>
    <w:div w:id="648944363">
      <w:bodyDiv w:val="1"/>
      <w:marLeft w:val="0"/>
      <w:marRight w:val="0"/>
      <w:marTop w:val="0"/>
      <w:marBottom w:val="0"/>
      <w:divBdr>
        <w:top w:val="none" w:sz="0" w:space="0" w:color="auto"/>
        <w:left w:val="none" w:sz="0" w:space="0" w:color="auto"/>
        <w:bottom w:val="none" w:sz="0" w:space="0" w:color="auto"/>
        <w:right w:val="none" w:sz="0" w:space="0" w:color="auto"/>
      </w:divBdr>
    </w:div>
    <w:div w:id="656418995">
      <w:bodyDiv w:val="1"/>
      <w:marLeft w:val="0"/>
      <w:marRight w:val="0"/>
      <w:marTop w:val="0"/>
      <w:marBottom w:val="0"/>
      <w:divBdr>
        <w:top w:val="none" w:sz="0" w:space="0" w:color="auto"/>
        <w:left w:val="none" w:sz="0" w:space="0" w:color="auto"/>
        <w:bottom w:val="none" w:sz="0" w:space="0" w:color="auto"/>
        <w:right w:val="none" w:sz="0" w:space="0" w:color="auto"/>
      </w:divBdr>
    </w:div>
    <w:div w:id="665088189">
      <w:bodyDiv w:val="1"/>
      <w:marLeft w:val="0"/>
      <w:marRight w:val="0"/>
      <w:marTop w:val="0"/>
      <w:marBottom w:val="0"/>
      <w:divBdr>
        <w:top w:val="none" w:sz="0" w:space="0" w:color="auto"/>
        <w:left w:val="none" w:sz="0" w:space="0" w:color="auto"/>
        <w:bottom w:val="none" w:sz="0" w:space="0" w:color="auto"/>
        <w:right w:val="none" w:sz="0" w:space="0" w:color="auto"/>
      </w:divBdr>
    </w:div>
    <w:div w:id="665327034">
      <w:bodyDiv w:val="1"/>
      <w:marLeft w:val="0"/>
      <w:marRight w:val="0"/>
      <w:marTop w:val="0"/>
      <w:marBottom w:val="0"/>
      <w:divBdr>
        <w:top w:val="none" w:sz="0" w:space="0" w:color="auto"/>
        <w:left w:val="none" w:sz="0" w:space="0" w:color="auto"/>
        <w:bottom w:val="none" w:sz="0" w:space="0" w:color="auto"/>
        <w:right w:val="none" w:sz="0" w:space="0" w:color="auto"/>
      </w:divBdr>
    </w:div>
    <w:div w:id="701976272">
      <w:bodyDiv w:val="1"/>
      <w:marLeft w:val="0"/>
      <w:marRight w:val="0"/>
      <w:marTop w:val="0"/>
      <w:marBottom w:val="0"/>
      <w:divBdr>
        <w:top w:val="none" w:sz="0" w:space="0" w:color="auto"/>
        <w:left w:val="none" w:sz="0" w:space="0" w:color="auto"/>
        <w:bottom w:val="none" w:sz="0" w:space="0" w:color="auto"/>
        <w:right w:val="none" w:sz="0" w:space="0" w:color="auto"/>
      </w:divBdr>
    </w:div>
    <w:div w:id="708913144">
      <w:bodyDiv w:val="1"/>
      <w:marLeft w:val="0"/>
      <w:marRight w:val="0"/>
      <w:marTop w:val="0"/>
      <w:marBottom w:val="0"/>
      <w:divBdr>
        <w:top w:val="none" w:sz="0" w:space="0" w:color="auto"/>
        <w:left w:val="none" w:sz="0" w:space="0" w:color="auto"/>
        <w:bottom w:val="none" w:sz="0" w:space="0" w:color="auto"/>
        <w:right w:val="none" w:sz="0" w:space="0" w:color="auto"/>
      </w:divBdr>
    </w:div>
    <w:div w:id="713774694">
      <w:bodyDiv w:val="1"/>
      <w:marLeft w:val="0"/>
      <w:marRight w:val="0"/>
      <w:marTop w:val="0"/>
      <w:marBottom w:val="0"/>
      <w:divBdr>
        <w:top w:val="none" w:sz="0" w:space="0" w:color="auto"/>
        <w:left w:val="none" w:sz="0" w:space="0" w:color="auto"/>
        <w:bottom w:val="none" w:sz="0" w:space="0" w:color="auto"/>
        <w:right w:val="none" w:sz="0" w:space="0" w:color="auto"/>
      </w:divBdr>
    </w:div>
    <w:div w:id="718482688">
      <w:bodyDiv w:val="1"/>
      <w:marLeft w:val="0"/>
      <w:marRight w:val="0"/>
      <w:marTop w:val="0"/>
      <w:marBottom w:val="0"/>
      <w:divBdr>
        <w:top w:val="none" w:sz="0" w:space="0" w:color="auto"/>
        <w:left w:val="none" w:sz="0" w:space="0" w:color="auto"/>
        <w:bottom w:val="none" w:sz="0" w:space="0" w:color="auto"/>
        <w:right w:val="none" w:sz="0" w:space="0" w:color="auto"/>
      </w:divBdr>
    </w:div>
    <w:div w:id="732967561">
      <w:bodyDiv w:val="1"/>
      <w:marLeft w:val="0"/>
      <w:marRight w:val="0"/>
      <w:marTop w:val="0"/>
      <w:marBottom w:val="0"/>
      <w:divBdr>
        <w:top w:val="none" w:sz="0" w:space="0" w:color="auto"/>
        <w:left w:val="none" w:sz="0" w:space="0" w:color="auto"/>
        <w:bottom w:val="none" w:sz="0" w:space="0" w:color="auto"/>
        <w:right w:val="none" w:sz="0" w:space="0" w:color="auto"/>
      </w:divBdr>
    </w:div>
    <w:div w:id="746414716">
      <w:bodyDiv w:val="1"/>
      <w:marLeft w:val="0"/>
      <w:marRight w:val="0"/>
      <w:marTop w:val="0"/>
      <w:marBottom w:val="0"/>
      <w:divBdr>
        <w:top w:val="none" w:sz="0" w:space="0" w:color="auto"/>
        <w:left w:val="none" w:sz="0" w:space="0" w:color="auto"/>
        <w:bottom w:val="none" w:sz="0" w:space="0" w:color="auto"/>
        <w:right w:val="none" w:sz="0" w:space="0" w:color="auto"/>
      </w:divBdr>
    </w:div>
    <w:div w:id="761493725">
      <w:bodyDiv w:val="1"/>
      <w:marLeft w:val="0"/>
      <w:marRight w:val="0"/>
      <w:marTop w:val="0"/>
      <w:marBottom w:val="0"/>
      <w:divBdr>
        <w:top w:val="none" w:sz="0" w:space="0" w:color="auto"/>
        <w:left w:val="none" w:sz="0" w:space="0" w:color="auto"/>
        <w:bottom w:val="none" w:sz="0" w:space="0" w:color="auto"/>
        <w:right w:val="none" w:sz="0" w:space="0" w:color="auto"/>
      </w:divBdr>
    </w:div>
    <w:div w:id="762723192">
      <w:bodyDiv w:val="1"/>
      <w:marLeft w:val="0"/>
      <w:marRight w:val="0"/>
      <w:marTop w:val="0"/>
      <w:marBottom w:val="0"/>
      <w:divBdr>
        <w:top w:val="none" w:sz="0" w:space="0" w:color="auto"/>
        <w:left w:val="none" w:sz="0" w:space="0" w:color="auto"/>
        <w:bottom w:val="none" w:sz="0" w:space="0" w:color="auto"/>
        <w:right w:val="none" w:sz="0" w:space="0" w:color="auto"/>
      </w:divBdr>
    </w:div>
    <w:div w:id="769853407">
      <w:bodyDiv w:val="1"/>
      <w:marLeft w:val="0"/>
      <w:marRight w:val="0"/>
      <w:marTop w:val="0"/>
      <w:marBottom w:val="0"/>
      <w:divBdr>
        <w:top w:val="none" w:sz="0" w:space="0" w:color="auto"/>
        <w:left w:val="none" w:sz="0" w:space="0" w:color="auto"/>
        <w:bottom w:val="none" w:sz="0" w:space="0" w:color="auto"/>
        <w:right w:val="none" w:sz="0" w:space="0" w:color="auto"/>
      </w:divBdr>
    </w:div>
    <w:div w:id="771513406">
      <w:bodyDiv w:val="1"/>
      <w:marLeft w:val="0"/>
      <w:marRight w:val="0"/>
      <w:marTop w:val="0"/>
      <w:marBottom w:val="0"/>
      <w:divBdr>
        <w:top w:val="none" w:sz="0" w:space="0" w:color="auto"/>
        <w:left w:val="none" w:sz="0" w:space="0" w:color="auto"/>
        <w:bottom w:val="none" w:sz="0" w:space="0" w:color="auto"/>
        <w:right w:val="none" w:sz="0" w:space="0" w:color="auto"/>
      </w:divBdr>
    </w:div>
    <w:div w:id="771707017">
      <w:bodyDiv w:val="1"/>
      <w:marLeft w:val="0"/>
      <w:marRight w:val="0"/>
      <w:marTop w:val="0"/>
      <w:marBottom w:val="0"/>
      <w:divBdr>
        <w:top w:val="none" w:sz="0" w:space="0" w:color="auto"/>
        <w:left w:val="none" w:sz="0" w:space="0" w:color="auto"/>
        <w:bottom w:val="none" w:sz="0" w:space="0" w:color="auto"/>
        <w:right w:val="none" w:sz="0" w:space="0" w:color="auto"/>
      </w:divBdr>
    </w:div>
    <w:div w:id="786387338">
      <w:bodyDiv w:val="1"/>
      <w:marLeft w:val="0"/>
      <w:marRight w:val="0"/>
      <w:marTop w:val="0"/>
      <w:marBottom w:val="0"/>
      <w:divBdr>
        <w:top w:val="none" w:sz="0" w:space="0" w:color="auto"/>
        <w:left w:val="none" w:sz="0" w:space="0" w:color="auto"/>
        <w:bottom w:val="none" w:sz="0" w:space="0" w:color="auto"/>
        <w:right w:val="none" w:sz="0" w:space="0" w:color="auto"/>
      </w:divBdr>
    </w:div>
    <w:div w:id="817918982">
      <w:bodyDiv w:val="1"/>
      <w:marLeft w:val="0"/>
      <w:marRight w:val="0"/>
      <w:marTop w:val="0"/>
      <w:marBottom w:val="0"/>
      <w:divBdr>
        <w:top w:val="none" w:sz="0" w:space="0" w:color="auto"/>
        <w:left w:val="none" w:sz="0" w:space="0" w:color="auto"/>
        <w:bottom w:val="none" w:sz="0" w:space="0" w:color="auto"/>
        <w:right w:val="none" w:sz="0" w:space="0" w:color="auto"/>
      </w:divBdr>
    </w:div>
    <w:div w:id="840975253">
      <w:bodyDiv w:val="1"/>
      <w:marLeft w:val="0"/>
      <w:marRight w:val="0"/>
      <w:marTop w:val="0"/>
      <w:marBottom w:val="0"/>
      <w:divBdr>
        <w:top w:val="none" w:sz="0" w:space="0" w:color="auto"/>
        <w:left w:val="none" w:sz="0" w:space="0" w:color="auto"/>
        <w:bottom w:val="none" w:sz="0" w:space="0" w:color="auto"/>
        <w:right w:val="none" w:sz="0" w:space="0" w:color="auto"/>
      </w:divBdr>
    </w:div>
    <w:div w:id="849563420">
      <w:bodyDiv w:val="1"/>
      <w:marLeft w:val="0"/>
      <w:marRight w:val="0"/>
      <w:marTop w:val="0"/>
      <w:marBottom w:val="0"/>
      <w:divBdr>
        <w:top w:val="none" w:sz="0" w:space="0" w:color="auto"/>
        <w:left w:val="none" w:sz="0" w:space="0" w:color="auto"/>
        <w:bottom w:val="none" w:sz="0" w:space="0" w:color="auto"/>
        <w:right w:val="none" w:sz="0" w:space="0" w:color="auto"/>
      </w:divBdr>
    </w:div>
    <w:div w:id="870848809">
      <w:bodyDiv w:val="1"/>
      <w:marLeft w:val="0"/>
      <w:marRight w:val="0"/>
      <w:marTop w:val="0"/>
      <w:marBottom w:val="0"/>
      <w:divBdr>
        <w:top w:val="none" w:sz="0" w:space="0" w:color="auto"/>
        <w:left w:val="none" w:sz="0" w:space="0" w:color="auto"/>
        <w:bottom w:val="none" w:sz="0" w:space="0" w:color="auto"/>
        <w:right w:val="none" w:sz="0" w:space="0" w:color="auto"/>
      </w:divBdr>
    </w:div>
    <w:div w:id="877204531">
      <w:bodyDiv w:val="1"/>
      <w:marLeft w:val="0"/>
      <w:marRight w:val="0"/>
      <w:marTop w:val="0"/>
      <w:marBottom w:val="0"/>
      <w:divBdr>
        <w:top w:val="none" w:sz="0" w:space="0" w:color="auto"/>
        <w:left w:val="none" w:sz="0" w:space="0" w:color="auto"/>
        <w:bottom w:val="none" w:sz="0" w:space="0" w:color="auto"/>
        <w:right w:val="none" w:sz="0" w:space="0" w:color="auto"/>
      </w:divBdr>
    </w:div>
    <w:div w:id="892666160">
      <w:bodyDiv w:val="1"/>
      <w:marLeft w:val="0"/>
      <w:marRight w:val="0"/>
      <w:marTop w:val="0"/>
      <w:marBottom w:val="0"/>
      <w:divBdr>
        <w:top w:val="none" w:sz="0" w:space="0" w:color="auto"/>
        <w:left w:val="none" w:sz="0" w:space="0" w:color="auto"/>
        <w:bottom w:val="none" w:sz="0" w:space="0" w:color="auto"/>
        <w:right w:val="none" w:sz="0" w:space="0" w:color="auto"/>
      </w:divBdr>
    </w:div>
    <w:div w:id="893783409">
      <w:bodyDiv w:val="1"/>
      <w:marLeft w:val="0"/>
      <w:marRight w:val="0"/>
      <w:marTop w:val="0"/>
      <w:marBottom w:val="0"/>
      <w:divBdr>
        <w:top w:val="none" w:sz="0" w:space="0" w:color="auto"/>
        <w:left w:val="none" w:sz="0" w:space="0" w:color="auto"/>
        <w:bottom w:val="none" w:sz="0" w:space="0" w:color="auto"/>
        <w:right w:val="none" w:sz="0" w:space="0" w:color="auto"/>
      </w:divBdr>
    </w:div>
    <w:div w:id="894856376">
      <w:bodyDiv w:val="1"/>
      <w:marLeft w:val="0"/>
      <w:marRight w:val="0"/>
      <w:marTop w:val="0"/>
      <w:marBottom w:val="0"/>
      <w:divBdr>
        <w:top w:val="none" w:sz="0" w:space="0" w:color="auto"/>
        <w:left w:val="none" w:sz="0" w:space="0" w:color="auto"/>
        <w:bottom w:val="none" w:sz="0" w:space="0" w:color="auto"/>
        <w:right w:val="none" w:sz="0" w:space="0" w:color="auto"/>
      </w:divBdr>
    </w:div>
    <w:div w:id="901526274">
      <w:bodyDiv w:val="1"/>
      <w:marLeft w:val="0"/>
      <w:marRight w:val="0"/>
      <w:marTop w:val="0"/>
      <w:marBottom w:val="0"/>
      <w:divBdr>
        <w:top w:val="none" w:sz="0" w:space="0" w:color="auto"/>
        <w:left w:val="none" w:sz="0" w:space="0" w:color="auto"/>
        <w:bottom w:val="none" w:sz="0" w:space="0" w:color="auto"/>
        <w:right w:val="none" w:sz="0" w:space="0" w:color="auto"/>
      </w:divBdr>
    </w:div>
    <w:div w:id="902443637">
      <w:bodyDiv w:val="1"/>
      <w:marLeft w:val="0"/>
      <w:marRight w:val="0"/>
      <w:marTop w:val="0"/>
      <w:marBottom w:val="0"/>
      <w:divBdr>
        <w:top w:val="none" w:sz="0" w:space="0" w:color="auto"/>
        <w:left w:val="none" w:sz="0" w:space="0" w:color="auto"/>
        <w:bottom w:val="none" w:sz="0" w:space="0" w:color="auto"/>
        <w:right w:val="none" w:sz="0" w:space="0" w:color="auto"/>
      </w:divBdr>
    </w:div>
    <w:div w:id="923950628">
      <w:bodyDiv w:val="1"/>
      <w:marLeft w:val="0"/>
      <w:marRight w:val="0"/>
      <w:marTop w:val="0"/>
      <w:marBottom w:val="0"/>
      <w:divBdr>
        <w:top w:val="none" w:sz="0" w:space="0" w:color="auto"/>
        <w:left w:val="none" w:sz="0" w:space="0" w:color="auto"/>
        <w:bottom w:val="none" w:sz="0" w:space="0" w:color="auto"/>
        <w:right w:val="none" w:sz="0" w:space="0" w:color="auto"/>
      </w:divBdr>
    </w:div>
    <w:div w:id="926500138">
      <w:bodyDiv w:val="1"/>
      <w:marLeft w:val="0"/>
      <w:marRight w:val="0"/>
      <w:marTop w:val="0"/>
      <w:marBottom w:val="0"/>
      <w:divBdr>
        <w:top w:val="none" w:sz="0" w:space="0" w:color="auto"/>
        <w:left w:val="none" w:sz="0" w:space="0" w:color="auto"/>
        <w:bottom w:val="none" w:sz="0" w:space="0" w:color="auto"/>
        <w:right w:val="none" w:sz="0" w:space="0" w:color="auto"/>
      </w:divBdr>
    </w:div>
    <w:div w:id="935098682">
      <w:bodyDiv w:val="1"/>
      <w:marLeft w:val="0"/>
      <w:marRight w:val="0"/>
      <w:marTop w:val="0"/>
      <w:marBottom w:val="0"/>
      <w:divBdr>
        <w:top w:val="none" w:sz="0" w:space="0" w:color="auto"/>
        <w:left w:val="none" w:sz="0" w:space="0" w:color="auto"/>
        <w:bottom w:val="none" w:sz="0" w:space="0" w:color="auto"/>
        <w:right w:val="none" w:sz="0" w:space="0" w:color="auto"/>
      </w:divBdr>
    </w:div>
    <w:div w:id="939987555">
      <w:bodyDiv w:val="1"/>
      <w:marLeft w:val="0"/>
      <w:marRight w:val="0"/>
      <w:marTop w:val="0"/>
      <w:marBottom w:val="0"/>
      <w:divBdr>
        <w:top w:val="none" w:sz="0" w:space="0" w:color="auto"/>
        <w:left w:val="none" w:sz="0" w:space="0" w:color="auto"/>
        <w:bottom w:val="none" w:sz="0" w:space="0" w:color="auto"/>
        <w:right w:val="none" w:sz="0" w:space="0" w:color="auto"/>
      </w:divBdr>
    </w:div>
    <w:div w:id="942959029">
      <w:bodyDiv w:val="1"/>
      <w:marLeft w:val="0"/>
      <w:marRight w:val="0"/>
      <w:marTop w:val="0"/>
      <w:marBottom w:val="0"/>
      <w:divBdr>
        <w:top w:val="none" w:sz="0" w:space="0" w:color="auto"/>
        <w:left w:val="none" w:sz="0" w:space="0" w:color="auto"/>
        <w:bottom w:val="none" w:sz="0" w:space="0" w:color="auto"/>
        <w:right w:val="none" w:sz="0" w:space="0" w:color="auto"/>
      </w:divBdr>
    </w:div>
    <w:div w:id="948897312">
      <w:bodyDiv w:val="1"/>
      <w:marLeft w:val="0"/>
      <w:marRight w:val="0"/>
      <w:marTop w:val="0"/>
      <w:marBottom w:val="0"/>
      <w:divBdr>
        <w:top w:val="none" w:sz="0" w:space="0" w:color="auto"/>
        <w:left w:val="none" w:sz="0" w:space="0" w:color="auto"/>
        <w:bottom w:val="none" w:sz="0" w:space="0" w:color="auto"/>
        <w:right w:val="none" w:sz="0" w:space="0" w:color="auto"/>
      </w:divBdr>
    </w:div>
    <w:div w:id="956133875">
      <w:bodyDiv w:val="1"/>
      <w:marLeft w:val="0"/>
      <w:marRight w:val="0"/>
      <w:marTop w:val="0"/>
      <w:marBottom w:val="0"/>
      <w:divBdr>
        <w:top w:val="none" w:sz="0" w:space="0" w:color="auto"/>
        <w:left w:val="none" w:sz="0" w:space="0" w:color="auto"/>
        <w:bottom w:val="none" w:sz="0" w:space="0" w:color="auto"/>
        <w:right w:val="none" w:sz="0" w:space="0" w:color="auto"/>
      </w:divBdr>
    </w:div>
    <w:div w:id="961420530">
      <w:bodyDiv w:val="1"/>
      <w:marLeft w:val="0"/>
      <w:marRight w:val="0"/>
      <w:marTop w:val="0"/>
      <w:marBottom w:val="0"/>
      <w:divBdr>
        <w:top w:val="none" w:sz="0" w:space="0" w:color="auto"/>
        <w:left w:val="none" w:sz="0" w:space="0" w:color="auto"/>
        <w:bottom w:val="none" w:sz="0" w:space="0" w:color="auto"/>
        <w:right w:val="none" w:sz="0" w:space="0" w:color="auto"/>
      </w:divBdr>
    </w:div>
    <w:div w:id="982808066">
      <w:bodyDiv w:val="1"/>
      <w:marLeft w:val="0"/>
      <w:marRight w:val="0"/>
      <w:marTop w:val="0"/>
      <w:marBottom w:val="0"/>
      <w:divBdr>
        <w:top w:val="none" w:sz="0" w:space="0" w:color="auto"/>
        <w:left w:val="none" w:sz="0" w:space="0" w:color="auto"/>
        <w:bottom w:val="none" w:sz="0" w:space="0" w:color="auto"/>
        <w:right w:val="none" w:sz="0" w:space="0" w:color="auto"/>
      </w:divBdr>
    </w:div>
    <w:div w:id="1018431291">
      <w:bodyDiv w:val="1"/>
      <w:marLeft w:val="0"/>
      <w:marRight w:val="0"/>
      <w:marTop w:val="0"/>
      <w:marBottom w:val="0"/>
      <w:divBdr>
        <w:top w:val="none" w:sz="0" w:space="0" w:color="auto"/>
        <w:left w:val="none" w:sz="0" w:space="0" w:color="auto"/>
        <w:bottom w:val="none" w:sz="0" w:space="0" w:color="auto"/>
        <w:right w:val="none" w:sz="0" w:space="0" w:color="auto"/>
      </w:divBdr>
      <w:divsChild>
        <w:div w:id="260112511">
          <w:marLeft w:val="0"/>
          <w:marRight w:val="0"/>
          <w:marTop w:val="0"/>
          <w:marBottom w:val="0"/>
          <w:divBdr>
            <w:top w:val="none" w:sz="0" w:space="0" w:color="auto"/>
            <w:left w:val="none" w:sz="0" w:space="0" w:color="auto"/>
            <w:bottom w:val="none" w:sz="0" w:space="0" w:color="auto"/>
            <w:right w:val="none" w:sz="0" w:space="0" w:color="auto"/>
          </w:divBdr>
          <w:divsChild>
            <w:div w:id="960496190">
              <w:marLeft w:val="0"/>
              <w:marRight w:val="0"/>
              <w:marTop w:val="0"/>
              <w:marBottom w:val="0"/>
              <w:divBdr>
                <w:top w:val="none" w:sz="0" w:space="0" w:color="auto"/>
                <w:left w:val="none" w:sz="0" w:space="0" w:color="auto"/>
                <w:bottom w:val="none" w:sz="0" w:space="0" w:color="auto"/>
                <w:right w:val="none" w:sz="0" w:space="0" w:color="auto"/>
              </w:divBdr>
              <w:divsChild>
                <w:div w:id="1698192949">
                  <w:marLeft w:val="0"/>
                  <w:marRight w:val="0"/>
                  <w:marTop w:val="0"/>
                  <w:marBottom w:val="0"/>
                  <w:divBdr>
                    <w:top w:val="none" w:sz="0" w:space="0" w:color="auto"/>
                    <w:left w:val="none" w:sz="0" w:space="0" w:color="auto"/>
                    <w:bottom w:val="none" w:sz="0" w:space="0" w:color="auto"/>
                    <w:right w:val="none" w:sz="0" w:space="0" w:color="auto"/>
                  </w:divBdr>
                  <w:divsChild>
                    <w:div w:id="1927032621">
                      <w:marLeft w:val="0"/>
                      <w:marRight w:val="0"/>
                      <w:marTop w:val="0"/>
                      <w:marBottom w:val="0"/>
                      <w:divBdr>
                        <w:top w:val="none" w:sz="0" w:space="0" w:color="auto"/>
                        <w:left w:val="none" w:sz="0" w:space="0" w:color="auto"/>
                        <w:bottom w:val="none" w:sz="0" w:space="0" w:color="auto"/>
                        <w:right w:val="none" w:sz="0" w:space="0" w:color="auto"/>
                      </w:divBdr>
                      <w:divsChild>
                        <w:div w:id="477262462">
                          <w:marLeft w:val="0"/>
                          <w:marRight w:val="0"/>
                          <w:marTop w:val="0"/>
                          <w:marBottom w:val="0"/>
                          <w:divBdr>
                            <w:top w:val="none" w:sz="0" w:space="0" w:color="auto"/>
                            <w:left w:val="none" w:sz="0" w:space="0" w:color="auto"/>
                            <w:bottom w:val="none" w:sz="0" w:space="0" w:color="auto"/>
                            <w:right w:val="none" w:sz="0" w:space="0" w:color="auto"/>
                          </w:divBdr>
                          <w:divsChild>
                            <w:div w:id="173807361">
                              <w:marLeft w:val="0"/>
                              <w:marRight w:val="0"/>
                              <w:marTop w:val="0"/>
                              <w:marBottom w:val="0"/>
                              <w:divBdr>
                                <w:top w:val="none" w:sz="0" w:space="0" w:color="auto"/>
                                <w:left w:val="none" w:sz="0" w:space="0" w:color="auto"/>
                                <w:bottom w:val="none" w:sz="0" w:space="0" w:color="auto"/>
                                <w:right w:val="none" w:sz="0" w:space="0" w:color="auto"/>
                              </w:divBdr>
                              <w:divsChild>
                                <w:div w:id="336856004">
                                  <w:marLeft w:val="0"/>
                                  <w:marRight w:val="0"/>
                                  <w:marTop w:val="0"/>
                                  <w:marBottom w:val="0"/>
                                  <w:divBdr>
                                    <w:top w:val="none" w:sz="0" w:space="0" w:color="auto"/>
                                    <w:left w:val="none" w:sz="0" w:space="0" w:color="auto"/>
                                    <w:bottom w:val="none" w:sz="0" w:space="0" w:color="auto"/>
                                    <w:right w:val="none" w:sz="0" w:space="0" w:color="auto"/>
                                  </w:divBdr>
                                  <w:divsChild>
                                    <w:div w:id="1928537571">
                                      <w:marLeft w:val="0"/>
                                      <w:marRight w:val="0"/>
                                      <w:marTop w:val="0"/>
                                      <w:marBottom w:val="0"/>
                                      <w:divBdr>
                                        <w:top w:val="none" w:sz="0" w:space="0" w:color="auto"/>
                                        <w:left w:val="none" w:sz="0" w:space="0" w:color="auto"/>
                                        <w:bottom w:val="none" w:sz="0" w:space="0" w:color="auto"/>
                                        <w:right w:val="none" w:sz="0" w:space="0" w:color="auto"/>
                                      </w:divBdr>
                                      <w:divsChild>
                                        <w:div w:id="1050377448">
                                          <w:marLeft w:val="0"/>
                                          <w:marRight w:val="0"/>
                                          <w:marTop w:val="0"/>
                                          <w:marBottom w:val="0"/>
                                          <w:divBdr>
                                            <w:top w:val="none" w:sz="0" w:space="0" w:color="auto"/>
                                            <w:left w:val="none" w:sz="0" w:space="0" w:color="auto"/>
                                            <w:bottom w:val="none" w:sz="0" w:space="0" w:color="auto"/>
                                            <w:right w:val="none" w:sz="0" w:space="0" w:color="auto"/>
                                          </w:divBdr>
                                          <w:divsChild>
                                            <w:div w:id="84109337">
                                              <w:marLeft w:val="0"/>
                                              <w:marRight w:val="0"/>
                                              <w:marTop w:val="0"/>
                                              <w:marBottom w:val="0"/>
                                              <w:divBdr>
                                                <w:top w:val="none" w:sz="0" w:space="0" w:color="auto"/>
                                                <w:left w:val="none" w:sz="0" w:space="0" w:color="auto"/>
                                                <w:bottom w:val="none" w:sz="0" w:space="0" w:color="auto"/>
                                                <w:right w:val="none" w:sz="0" w:space="0" w:color="auto"/>
                                              </w:divBdr>
                                              <w:divsChild>
                                                <w:div w:id="209000016">
                                                  <w:marLeft w:val="0"/>
                                                  <w:marRight w:val="0"/>
                                                  <w:marTop w:val="0"/>
                                                  <w:marBottom w:val="0"/>
                                                  <w:divBdr>
                                                    <w:top w:val="none" w:sz="0" w:space="0" w:color="auto"/>
                                                    <w:left w:val="none" w:sz="0" w:space="0" w:color="auto"/>
                                                    <w:bottom w:val="none" w:sz="0" w:space="0" w:color="auto"/>
                                                    <w:right w:val="none" w:sz="0" w:space="0" w:color="auto"/>
                                                  </w:divBdr>
                                                  <w:divsChild>
                                                    <w:div w:id="1306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134109">
          <w:marLeft w:val="0"/>
          <w:marRight w:val="0"/>
          <w:marTop w:val="0"/>
          <w:marBottom w:val="0"/>
          <w:divBdr>
            <w:top w:val="none" w:sz="0" w:space="0" w:color="auto"/>
            <w:left w:val="none" w:sz="0" w:space="0" w:color="auto"/>
            <w:bottom w:val="none" w:sz="0" w:space="0" w:color="auto"/>
            <w:right w:val="none" w:sz="0" w:space="0" w:color="auto"/>
          </w:divBdr>
          <w:divsChild>
            <w:div w:id="550849514">
              <w:marLeft w:val="0"/>
              <w:marRight w:val="0"/>
              <w:marTop w:val="0"/>
              <w:marBottom w:val="0"/>
              <w:divBdr>
                <w:top w:val="none" w:sz="0" w:space="0" w:color="auto"/>
                <w:left w:val="none" w:sz="0" w:space="0" w:color="auto"/>
                <w:bottom w:val="none" w:sz="0" w:space="0" w:color="auto"/>
                <w:right w:val="none" w:sz="0" w:space="0" w:color="auto"/>
              </w:divBdr>
              <w:divsChild>
                <w:div w:id="1754661856">
                  <w:marLeft w:val="0"/>
                  <w:marRight w:val="0"/>
                  <w:marTop w:val="0"/>
                  <w:marBottom w:val="0"/>
                  <w:divBdr>
                    <w:top w:val="none" w:sz="0" w:space="0" w:color="auto"/>
                    <w:left w:val="none" w:sz="0" w:space="0" w:color="auto"/>
                    <w:bottom w:val="none" w:sz="0" w:space="0" w:color="auto"/>
                    <w:right w:val="none" w:sz="0" w:space="0" w:color="auto"/>
                  </w:divBdr>
                  <w:divsChild>
                    <w:div w:id="1473014904">
                      <w:marLeft w:val="0"/>
                      <w:marRight w:val="0"/>
                      <w:marTop w:val="0"/>
                      <w:marBottom w:val="0"/>
                      <w:divBdr>
                        <w:top w:val="none" w:sz="0" w:space="0" w:color="auto"/>
                        <w:left w:val="none" w:sz="0" w:space="0" w:color="auto"/>
                        <w:bottom w:val="none" w:sz="0" w:space="0" w:color="auto"/>
                        <w:right w:val="none" w:sz="0" w:space="0" w:color="auto"/>
                      </w:divBdr>
                      <w:divsChild>
                        <w:div w:id="4466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943043">
      <w:bodyDiv w:val="1"/>
      <w:marLeft w:val="0"/>
      <w:marRight w:val="0"/>
      <w:marTop w:val="0"/>
      <w:marBottom w:val="0"/>
      <w:divBdr>
        <w:top w:val="none" w:sz="0" w:space="0" w:color="auto"/>
        <w:left w:val="none" w:sz="0" w:space="0" w:color="auto"/>
        <w:bottom w:val="none" w:sz="0" w:space="0" w:color="auto"/>
        <w:right w:val="none" w:sz="0" w:space="0" w:color="auto"/>
      </w:divBdr>
    </w:div>
    <w:div w:id="1026295889">
      <w:bodyDiv w:val="1"/>
      <w:marLeft w:val="0"/>
      <w:marRight w:val="0"/>
      <w:marTop w:val="0"/>
      <w:marBottom w:val="0"/>
      <w:divBdr>
        <w:top w:val="none" w:sz="0" w:space="0" w:color="auto"/>
        <w:left w:val="none" w:sz="0" w:space="0" w:color="auto"/>
        <w:bottom w:val="none" w:sz="0" w:space="0" w:color="auto"/>
        <w:right w:val="none" w:sz="0" w:space="0" w:color="auto"/>
      </w:divBdr>
    </w:div>
    <w:div w:id="1040980302">
      <w:bodyDiv w:val="1"/>
      <w:marLeft w:val="0"/>
      <w:marRight w:val="0"/>
      <w:marTop w:val="0"/>
      <w:marBottom w:val="0"/>
      <w:divBdr>
        <w:top w:val="none" w:sz="0" w:space="0" w:color="auto"/>
        <w:left w:val="none" w:sz="0" w:space="0" w:color="auto"/>
        <w:bottom w:val="none" w:sz="0" w:space="0" w:color="auto"/>
        <w:right w:val="none" w:sz="0" w:space="0" w:color="auto"/>
      </w:divBdr>
    </w:div>
    <w:div w:id="1064571165">
      <w:bodyDiv w:val="1"/>
      <w:marLeft w:val="0"/>
      <w:marRight w:val="0"/>
      <w:marTop w:val="0"/>
      <w:marBottom w:val="0"/>
      <w:divBdr>
        <w:top w:val="none" w:sz="0" w:space="0" w:color="auto"/>
        <w:left w:val="none" w:sz="0" w:space="0" w:color="auto"/>
        <w:bottom w:val="none" w:sz="0" w:space="0" w:color="auto"/>
        <w:right w:val="none" w:sz="0" w:space="0" w:color="auto"/>
      </w:divBdr>
    </w:div>
    <w:div w:id="1067024162">
      <w:bodyDiv w:val="1"/>
      <w:marLeft w:val="0"/>
      <w:marRight w:val="0"/>
      <w:marTop w:val="0"/>
      <w:marBottom w:val="0"/>
      <w:divBdr>
        <w:top w:val="none" w:sz="0" w:space="0" w:color="auto"/>
        <w:left w:val="none" w:sz="0" w:space="0" w:color="auto"/>
        <w:bottom w:val="none" w:sz="0" w:space="0" w:color="auto"/>
        <w:right w:val="none" w:sz="0" w:space="0" w:color="auto"/>
      </w:divBdr>
    </w:div>
    <w:div w:id="1091971941">
      <w:bodyDiv w:val="1"/>
      <w:marLeft w:val="0"/>
      <w:marRight w:val="0"/>
      <w:marTop w:val="0"/>
      <w:marBottom w:val="0"/>
      <w:divBdr>
        <w:top w:val="none" w:sz="0" w:space="0" w:color="auto"/>
        <w:left w:val="none" w:sz="0" w:space="0" w:color="auto"/>
        <w:bottom w:val="none" w:sz="0" w:space="0" w:color="auto"/>
        <w:right w:val="none" w:sz="0" w:space="0" w:color="auto"/>
      </w:divBdr>
    </w:div>
    <w:div w:id="1105424074">
      <w:bodyDiv w:val="1"/>
      <w:marLeft w:val="0"/>
      <w:marRight w:val="0"/>
      <w:marTop w:val="0"/>
      <w:marBottom w:val="0"/>
      <w:divBdr>
        <w:top w:val="none" w:sz="0" w:space="0" w:color="auto"/>
        <w:left w:val="none" w:sz="0" w:space="0" w:color="auto"/>
        <w:bottom w:val="none" w:sz="0" w:space="0" w:color="auto"/>
        <w:right w:val="none" w:sz="0" w:space="0" w:color="auto"/>
      </w:divBdr>
    </w:div>
    <w:div w:id="1108156553">
      <w:bodyDiv w:val="1"/>
      <w:marLeft w:val="0"/>
      <w:marRight w:val="0"/>
      <w:marTop w:val="0"/>
      <w:marBottom w:val="0"/>
      <w:divBdr>
        <w:top w:val="none" w:sz="0" w:space="0" w:color="auto"/>
        <w:left w:val="none" w:sz="0" w:space="0" w:color="auto"/>
        <w:bottom w:val="none" w:sz="0" w:space="0" w:color="auto"/>
        <w:right w:val="none" w:sz="0" w:space="0" w:color="auto"/>
      </w:divBdr>
    </w:div>
    <w:div w:id="1108617670">
      <w:bodyDiv w:val="1"/>
      <w:marLeft w:val="0"/>
      <w:marRight w:val="0"/>
      <w:marTop w:val="0"/>
      <w:marBottom w:val="0"/>
      <w:divBdr>
        <w:top w:val="none" w:sz="0" w:space="0" w:color="auto"/>
        <w:left w:val="none" w:sz="0" w:space="0" w:color="auto"/>
        <w:bottom w:val="none" w:sz="0" w:space="0" w:color="auto"/>
        <w:right w:val="none" w:sz="0" w:space="0" w:color="auto"/>
      </w:divBdr>
    </w:div>
    <w:div w:id="1118642062">
      <w:bodyDiv w:val="1"/>
      <w:marLeft w:val="0"/>
      <w:marRight w:val="0"/>
      <w:marTop w:val="0"/>
      <w:marBottom w:val="0"/>
      <w:divBdr>
        <w:top w:val="none" w:sz="0" w:space="0" w:color="auto"/>
        <w:left w:val="none" w:sz="0" w:space="0" w:color="auto"/>
        <w:bottom w:val="none" w:sz="0" w:space="0" w:color="auto"/>
        <w:right w:val="none" w:sz="0" w:space="0" w:color="auto"/>
      </w:divBdr>
    </w:div>
    <w:div w:id="1120028038">
      <w:bodyDiv w:val="1"/>
      <w:marLeft w:val="0"/>
      <w:marRight w:val="0"/>
      <w:marTop w:val="0"/>
      <w:marBottom w:val="0"/>
      <w:divBdr>
        <w:top w:val="none" w:sz="0" w:space="0" w:color="auto"/>
        <w:left w:val="none" w:sz="0" w:space="0" w:color="auto"/>
        <w:bottom w:val="none" w:sz="0" w:space="0" w:color="auto"/>
        <w:right w:val="none" w:sz="0" w:space="0" w:color="auto"/>
      </w:divBdr>
    </w:div>
    <w:div w:id="1123814931">
      <w:bodyDiv w:val="1"/>
      <w:marLeft w:val="0"/>
      <w:marRight w:val="0"/>
      <w:marTop w:val="0"/>
      <w:marBottom w:val="0"/>
      <w:divBdr>
        <w:top w:val="none" w:sz="0" w:space="0" w:color="auto"/>
        <w:left w:val="none" w:sz="0" w:space="0" w:color="auto"/>
        <w:bottom w:val="none" w:sz="0" w:space="0" w:color="auto"/>
        <w:right w:val="none" w:sz="0" w:space="0" w:color="auto"/>
      </w:divBdr>
    </w:div>
    <w:div w:id="1130981129">
      <w:bodyDiv w:val="1"/>
      <w:marLeft w:val="0"/>
      <w:marRight w:val="0"/>
      <w:marTop w:val="0"/>
      <w:marBottom w:val="0"/>
      <w:divBdr>
        <w:top w:val="none" w:sz="0" w:space="0" w:color="auto"/>
        <w:left w:val="none" w:sz="0" w:space="0" w:color="auto"/>
        <w:bottom w:val="none" w:sz="0" w:space="0" w:color="auto"/>
        <w:right w:val="none" w:sz="0" w:space="0" w:color="auto"/>
      </w:divBdr>
    </w:div>
    <w:div w:id="1142969467">
      <w:bodyDiv w:val="1"/>
      <w:marLeft w:val="0"/>
      <w:marRight w:val="0"/>
      <w:marTop w:val="0"/>
      <w:marBottom w:val="0"/>
      <w:divBdr>
        <w:top w:val="none" w:sz="0" w:space="0" w:color="auto"/>
        <w:left w:val="none" w:sz="0" w:space="0" w:color="auto"/>
        <w:bottom w:val="none" w:sz="0" w:space="0" w:color="auto"/>
        <w:right w:val="none" w:sz="0" w:space="0" w:color="auto"/>
      </w:divBdr>
    </w:div>
    <w:div w:id="1143502137">
      <w:bodyDiv w:val="1"/>
      <w:marLeft w:val="0"/>
      <w:marRight w:val="0"/>
      <w:marTop w:val="0"/>
      <w:marBottom w:val="0"/>
      <w:divBdr>
        <w:top w:val="none" w:sz="0" w:space="0" w:color="auto"/>
        <w:left w:val="none" w:sz="0" w:space="0" w:color="auto"/>
        <w:bottom w:val="none" w:sz="0" w:space="0" w:color="auto"/>
        <w:right w:val="none" w:sz="0" w:space="0" w:color="auto"/>
      </w:divBdr>
    </w:div>
    <w:div w:id="1169098450">
      <w:bodyDiv w:val="1"/>
      <w:marLeft w:val="0"/>
      <w:marRight w:val="0"/>
      <w:marTop w:val="0"/>
      <w:marBottom w:val="0"/>
      <w:divBdr>
        <w:top w:val="none" w:sz="0" w:space="0" w:color="auto"/>
        <w:left w:val="none" w:sz="0" w:space="0" w:color="auto"/>
        <w:bottom w:val="none" w:sz="0" w:space="0" w:color="auto"/>
        <w:right w:val="none" w:sz="0" w:space="0" w:color="auto"/>
      </w:divBdr>
    </w:div>
    <w:div w:id="1183056483">
      <w:bodyDiv w:val="1"/>
      <w:marLeft w:val="0"/>
      <w:marRight w:val="0"/>
      <w:marTop w:val="0"/>
      <w:marBottom w:val="0"/>
      <w:divBdr>
        <w:top w:val="none" w:sz="0" w:space="0" w:color="auto"/>
        <w:left w:val="none" w:sz="0" w:space="0" w:color="auto"/>
        <w:bottom w:val="none" w:sz="0" w:space="0" w:color="auto"/>
        <w:right w:val="none" w:sz="0" w:space="0" w:color="auto"/>
      </w:divBdr>
    </w:div>
    <w:div w:id="1188254799">
      <w:bodyDiv w:val="1"/>
      <w:marLeft w:val="0"/>
      <w:marRight w:val="0"/>
      <w:marTop w:val="0"/>
      <w:marBottom w:val="0"/>
      <w:divBdr>
        <w:top w:val="none" w:sz="0" w:space="0" w:color="auto"/>
        <w:left w:val="none" w:sz="0" w:space="0" w:color="auto"/>
        <w:bottom w:val="none" w:sz="0" w:space="0" w:color="auto"/>
        <w:right w:val="none" w:sz="0" w:space="0" w:color="auto"/>
      </w:divBdr>
    </w:div>
    <w:div w:id="1192958443">
      <w:bodyDiv w:val="1"/>
      <w:marLeft w:val="0"/>
      <w:marRight w:val="0"/>
      <w:marTop w:val="0"/>
      <w:marBottom w:val="0"/>
      <w:divBdr>
        <w:top w:val="none" w:sz="0" w:space="0" w:color="auto"/>
        <w:left w:val="none" w:sz="0" w:space="0" w:color="auto"/>
        <w:bottom w:val="none" w:sz="0" w:space="0" w:color="auto"/>
        <w:right w:val="none" w:sz="0" w:space="0" w:color="auto"/>
      </w:divBdr>
    </w:div>
    <w:div w:id="1200237954">
      <w:bodyDiv w:val="1"/>
      <w:marLeft w:val="0"/>
      <w:marRight w:val="0"/>
      <w:marTop w:val="0"/>
      <w:marBottom w:val="0"/>
      <w:divBdr>
        <w:top w:val="none" w:sz="0" w:space="0" w:color="auto"/>
        <w:left w:val="none" w:sz="0" w:space="0" w:color="auto"/>
        <w:bottom w:val="none" w:sz="0" w:space="0" w:color="auto"/>
        <w:right w:val="none" w:sz="0" w:space="0" w:color="auto"/>
      </w:divBdr>
    </w:div>
    <w:div w:id="1212644570">
      <w:bodyDiv w:val="1"/>
      <w:marLeft w:val="0"/>
      <w:marRight w:val="0"/>
      <w:marTop w:val="0"/>
      <w:marBottom w:val="0"/>
      <w:divBdr>
        <w:top w:val="none" w:sz="0" w:space="0" w:color="auto"/>
        <w:left w:val="none" w:sz="0" w:space="0" w:color="auto"/>
        <w:bottom w:val="none" w:sz="0" w:space="0" w:color="auto"/>
        <w:right w:val="none" w:sz="0" w:space="0" w:color="auto"/>
      </w:divBdr>
    </w:div>
    <w:div w:id="1223564595">
      <w:bodyDiv w:val="1"/>
      <w:marLeft w:val="0"/>
      <w:marRight w:val="0"/>
      <w:marTop w:val="0"/>
      <w:marBottom w:val="0"/>
      <w:divBdr>
        <w:top w:val="none" w:sz="0" w:space="0" w:color="auto"/>
        <w:left w:val="none" w:sz="0" w:space="0" w:color="auto"/>
        <w:bottom w:val="none" w:sz="0" w:space="0" w:color="auto"/>
        <w:right w:val="none" w:sz="0" w:space="0" w:color="auto"/>
      </w:divBdr>
    </w:div>
    <w:div w:id="1240603875">
      <w:bodyDiv w:val="1"/>
      <w:marLeft w:val="0"/>
      <w:marRight w:val="0"/>
      <w:marTop w:val="0"/>
      <w:marBottom w:val="0"/>
      <w:divBdr>
        <w:top w:val="none" w:sz="0" w:space="0" w:color="auto"/>
        <w:left w:val="none" w:sz="0" w:space="0" w:color="auto"/>
        <w:bottom w:val="none" w:sz="0" w:space="0" w:color="auto"/>
        <w:right w:val="none" w:sz="0" w:space="0" w:color="auto"/>
      </w:divBdr>
    </w:div>
    <w:div w:id="1244604139">
      <w:bodyDiv w:val="1"/>
      <w:marLeft w:val="0"/>
      <w:marRight w:val="0"/>
      <w:marTop w:val="0"/>
      <w:marBottom w:val="0"/>
      <w:divBdr>
        <w:top w:val="none" w:sz="0" w:space="0" w:color="auto"/>
        <w:left w:val="none" w:sz="0" w:space="0" w:color="auto"/>
        <w:bottom w:val="none" w:sz="0" w:space="0" w:color="auto"/>
        <w:right w:val="none" w:sz="0" w:space="0" w:color="auto"/>
      </w:divBdr>
    </w:div>
    <w:div w:id="1245064206">
      <w:bodyDiv w:val="1"/>
      <w:marLeft w:val="0"/>
      <w:marRight w:val="0"/>
      <w:marTop w:val="0"/>
      <w:marBottom w:val="0"/>
      <w:divBdr>
        <w:top w:val="none" w:sz="0" w:space="0" w:color="auto"/>
        <w:left w:val="none" w:sz="0" w:space="0" w:color="auto"/>
        <w:bottom w:val="none" w:sz="0" w:space="0" w:color="auto"/>
        <w:right w:val="none" w:sz="0" w:space="0" w:color="auto"/>
      </w:divBdr>
    </w:div>
    <w:div w:id="1245069773">
      <w:bodyDiv w:val="1"/>
      <w:marLeft w:val="0"/>
      <w:marRight w:val="0"/>
      <w:marTop w:val="0"/>
      <w:marBottom w:val="0"/>
      <w:divBdr>
        <w:top w:val="none" w:sz="0" w:space="0" w:color="auto"/>
        <w:left w:val="none" w:sz="0" w:space="0" w:color="auto"/>
        <w:bottom w:val="none" w:sz="0" w:space="0" w:color="auto"/>
        <w:right w:val="none" w:sz="0" w:space="0" w:color="auto"/>
      </w:divBdr>
    </w:div>
    <w:div w:id="1253582825">
      <w:bodyDiv w:val="1"/>
      <w:marLeft w:val="0"/>
      <w:marRight w:val="0"/>
      <w:marTop w:val="0"/>
      <w:marBottom w:val="0"/>
      <w:divBdr>
        <w:top w:val="none" w:sz="0" w:space="0" w:color="auto"/>
        <w:left w:val="none" w:sz="0" w:space="0" w:color="auto"/>
        <w:bottom w:val="none" w:sz="0" w:space="0" w:color="auto"/>
        <w:right w:val="none" w:sz="0" w:space="0" w:color="auto"/>
      </w:divBdr>
    </w:div>
    <w:div w:id="1265453179">
      <w:bodyDiv w:val="1"/>
      <w:marLeft w:val="0"/>
      <w:marRight w:val="0"/>
      <w:marTop w:val="0"/>
      <w:marBottom w:val="0"/>
      <w:divBdr>
        <w:top w:val="none" w:sz="0" w:space="0" w:color="auto"/>
        <w:left w:val="none" w:sz="0" w:space="0" w:color="auto"/>
        <w:bottom w:val="none" w:sz="0" w:space="0" w:color="auto"/>
        <w:right w:val="none" w:sz="0" w:space="0" w:color="auto"/>
      </w:divBdr>
    </w:div>
    <w:div w:id="1282152044">
      <w:bodyDiv w:val="1"/>
      <w:marLeft w:val="0"/>
      <w:marRight w:val="0"/>
      <w:marTop w:val="0"/>
      <w:marBottom w:val="0"/>
      <w:divBdr>
        <w:top w:val="none" w:sz="0" w:space="0" w:color="auto"/>
        <w:left w:val="none" w:sz="0" w:space="0" w:color="auto"/>
        <w:bottom w:val="none" w:sz="0" w:space="0" w:color="auto"/>
        <w:right w:val="none" w:sz="0" w:space="0" w:color="auto"/>
      </w:divBdr>
    </w:div>
    <w:div w:id="1318652031">
      <w:bodyDiv w:val="1"/>
      <w:marLeft w:val="0"/>
      <w:marRight w:val="0"/>
      <w:marTop w:val="0"/>
      <w:marBottom w:val="0"/>
      <w:divBdr>
        <w:top w:val="none" w:sz="0" w:space="0" w:color="auto"/>
        <w:left w:val="none" w:sz="0" w:space="0" w:color="auto"/>
        <w:bottom w:val="none" w:sz="0" w:space="0" w:color="auto"/>
        <w:right w:val="none" w:sz="0" w:space="0" w:color="auto"/>
      </w:divBdr>
    </w:div>
    <w:div w:id="1320229896">
      <w:bodyDiv w:val="1"/>
      <w:marLeft w:val="0"/>
      <w:marRight w:val="0"/>
      <w:marTop w:val="0"/>
      <w:marBottom w:val="0"/>
      <w:divBdr>
        <w:top w:val="none" w:sz="0" w:space="0" w:color="auto"/>
        <w:left w:val="none" w:sz="0" w:space="0" w:color="auto"/>
        <w:bottom w:val="none" w:sz="0" w:space="0" w:color="auto"/>
        <w:right w:val="none" w:sz="0" w:space="0" w:color="auto"/>
      </w:divBdr>
    </w:div>
    <w:div w:id="1325863638">
      <w:bodyDiv w:val="1"/>
      <w:marLeft w:val="0"/>
      <w:marRight w:val="0"/>
      <w:marTop w:val="0"/>
      <w:marBottom w:val="0"/>
      <w:divBdr>
        <w:top w:val="none" w:sz="0" w:space="0" w:color="auto"/>
        <w:left w:val="none" w:sz="0" w:space="0" w:color="auto"/>
        <w:bottom w:val="none" w:sz="0" w:space="0" w:color="auto"/>
        <w:right w:val="none" w:sz="0" w:space="0" w:color="auto"/>
      </w:divBdr>
    </w:div>
    <w:div w:id="1329135789">
      <w:bodyDiv w:val="1"/>
      <w:marLeft w:val="0"/>
      <w:marRight w:val="0"/>
      <w:marTop w:val="0"/>
      <w:marBottom w:val="0"/>
      <w:divBdr>
        <w:top w:val="none" w:sz="0" w:space="0" w:color="auto"/>
        <w:left w:val="none" w:sz="0" w:space="0" w:color="auto"/>
        <w:bottom w:val="none" w:sz="0" w:space="0" w:color="auto"/>
        <w:right w:val="none" w:sz="0" w:space="0" w:color="auto"/>
      </w:divBdr>
    </w:div>
    <w:div w:id="1330595064">
      <w:bodyDiv w:val="1"/>
      <w:marLeft w:val="0"/>
      <w:marRight w:val="0"/>
      <w:marTop w:val="0"/>
      <w:marBottom w:val="0"/>
      <w:divBdr>
        <w:top w:val="none" w:sz="0" w:space="0" w:color="auto"/>
        <w:left w:val="none" w:sz="0" w:space="0" w:color="auto"/>
        <w:bottom w:val="none" w:sz="0" w:space="0" w:color="auto"/>
        <w:right w:val="none" w:sz="0" w:space="0" w:color="auto"/>
      </w:divBdr>
    </w:div>
    <w:div w:id="1331761355">
      <w:bodyDiv w:val="1"/>
      <w:marLeft w:val="0"/>
      <w:marRight w:val="0"/>
      <w:marTop w:val="0"/>
      <w:marBottom w:val="0"/>
      <w:divBdr>
        <w:top w:val="none" w:sz="0" w:space="0" w:color="auto"/>
        <w:left w:val="none" w:sz="0" w:space="0" w:color="auto"/>
        <w:bottom w:val="none" w:sz="0" w:space="0" w:color="auto"/>
        <w:right w:val="none" w:sz="0" w:space="0" w:color="auto"/>
      </w:divBdr>
    </w:div>
    <w:div w:id="1336106120">
      <w:bodyDiv w:val="1"/>
      <w:marLeft w:val="0"/>
      <w:marRight w:val="0"/>
      <w:marTop w:val="0"/>
      <w:marBottom w:val="0"/>
      <w:divBdr>
        <w:top w:val="none" w:sz="0" w:space="0" w:color="auto"/>
        <w:left w:val="none" w:sz="0" w:space="0" w:color="auto"/>
        <w:bottom w:val="none" w:sz="0" w:space="0" w:color="auto"/>
        <w:right w:val="none" w:sz="0" w:space="0" w:color="auto"/>
      </w:divBdr>
    </w:div>
    <w:div w:id="1363870297">
      <w:bodyDiv w:val="1"/>
      <w:marLeft w:val="0"/>
      <w:marRight w:val="0"/>
      <w:marTop w:val="0"/>
      <w:marBottom w:val="0"/>
      <w:divBdr>
        <w:top w:val="none" w:sz="0" w:space="0" w:color="auto"/>
        <w:left w:val="none" w:sz="0" w:space="0" w:color="auto"/>
        <w:bottom w:val="none" w:sz="0" w:space="0" w:color="auto"/>
        <w:right w:val="none" w:sz="0" w:space="0" w:color="auto"/>
      </w:divBdr>
    </w:div>
    <w:div w:id="1380937564">
      <w:bodyDiv w:val="1"/>
      <w:marLeft w:val="0"/>
      <w:marRight w:val="0"/>
      <w:marTop w:val="0"/>
      <w:marBottom w:val="0"/>
      <w:divBdr>
        <w:top w:val="none" w:sz="0" w:space="0" w:color="auto"/>
        <w:left w:val="none" w:sz="0" w:space="0" w:color="auto"/>
        <w:bottom w:val="none" w:sz="0" w:space="0" w:color="auto"/>
        <w:right w:val="none" w:sz="0" w:space="0" w:color="auto"/>
      </w:divBdr>
    </w:div>
    <w:div w:id="1383746935">
      <w:bodyDiv w:val="1"/>
      <w:marLeft w:val="0"/>
      <w:marRight w:val="0"/>
      <w:marTop w:val="0"/>
      <w:marBottom w:val="0"/>
      <w:divBdr>
        <w:top w:val="none" w:sz="0" w:space="0" w:color="auto"/>
        <w:left w:val="none" w:sz="0" w:space="0" w:color="auto"/>
        <w:bottom w:val="none" w:sz="0" w:space="0" w:color="auto"/>
        <w:right w:val="none" w:sz="0" w:space="0" w:color="auto"/>
      </w:divBdr>
    </w:div>
    <w:div w:id="1384790870">
      <w:bodyDiv w:val="1"/>
      <w:marLeft w:val="0"/>
      <w:marRight w:val="0"/>
      <w:marTop w:val="0"/>
      <w:marBottom w:val="0"/>
      <w:divBdr>
        <w:top w:val="none" w:sz="0" w:space="0" w:color="auto"/>
        <w:left w:val="none" w:sz="0" w:space="0" w:color="auto"/>
        <w:bottom w:val="none" w:sz="0" w:space="0" w:color="auto"/>
        <w:right w:val="none" w:sz="0" w:space="0" w:color="auto"/>
      </w:divBdr>
    </w:div>
    <w:div w:id="1388841812">
      <w:bodyDiv w:val="1"/>
      <w:marLeft w:val="0"/>
      <w:marRight w:val="0"/>
      <w:marTop w:val="0"/>
      <w:marBottom w:val="0"/>
      <w:divBdr>
        <w:top w:val="none" w:sz="0" w:space="0" w:color="auto"/>
        <w:left w:val="none" w:sz="0" w:space="0" w:color="auto"/>
        <w:bottom w:val="none" w:sz="0" w:space="0" w:color="auto"/>
        <w:right w:val="none" w:sz="0" w:space="0" w:color="auto"/>
      </w:divBdr>
      <w:divsChild>
        <w:div w:id="1818453475">
          <w:marLeft w:val="0"/>
          <w:marRight w:val="0"/>
          <w:marTop w:val="0"/>
          <w:marBottom w:val="0"/>
          <w:divBdr>
            <w:top w:val="none" w:sz="0" w:space="0" w:color="auto"/>
            <w:left w:val="none" w:sz="0" w:space="0" w:color="auto"/>
            <w:bottom w:val="none" w:sz="0" w:space="0" w:color="auto"/>
            <w:right w:val="none" w:sz="0" w:space="0" w:color="auto"/>
          </w:divBdr>
          <w:divsChild>
            <w:div w:id="806357589">
              <w:marLeft w:val="0"/>
              <w:marRight w:val="0"/>
              <w:marTop w:val="0"/>
              <w:marBottom w:val="0"/>
              <w:divBdr>
                <w:top w:val="none" w:sz="0" w:space="0" w:color="auto"/>
                <w:left w:val="none" w:sz="0" w:space="0" w:color="auto"/>
                <w:bottom w:val="none" w:sz="0" w:space="0" w:color="auto"/>
                <w:right w:val="none" w:sz="0" w:space="0" w:color="auto"/>
              </w:divBdr>
              <w:divsChild>
                <w:div w:id="747113277">
                  <w:marLeft w:val="0"/>
                  <w:marRight w:val="0"/>
                  <w:marTop w:val="0"/>
                  <w:marBottom w:val="0"/>
                  <w:divBdr>
                    <w:top w:val="none" w:sz="0" w:space="0" w:color="auto"/>
                    <w:left w:val="none" w:sz="0" w:space="0" w:color="auto"/>
                    <w:bottom w:val="none" w:sz="0" w:space="0" w:color="auto"/>
                    <w:right w:val="none" w:sz="0" w:space="0" w:color="auto"/>
                  </w:divBdr>
                  <w:divsChild>
                    <w:div w:id="1467119178">
                      <w:marLeft w:val="0"/>
                      <w:marRight w:val="0"/>
                      <w:marTop w:val="0"/>
                      <w:marBottom w:val="0"/>
                      <w:divBdr>
                        <w:top w:val="none" w:sz="0" w:space="0" w:color="auto"/>
                        <w:left w:val="none" w:sz="0" w:space="0" w:color="auto"/>
                        <w:bottom w:val="none" w:sz="0" w:space="0" w:color="auto"/>
                        <w:right w:val="none" w:sz="0" w:space="0" w:color="auto"/>
                      </w:divBdr>
                      <w:divsChild>
                        <w:div w:id="419761265">
                          <w:marLeft w:val="0"/>
                          <w:marRight w:val="0"/>
                          <w:marTop w:val="0"/>
                          <w:marBottom w:val="0"/>
                          <w:divBdr>
                            <w:top w:val="none" w:sz="0" w:space="0" w:color="auto"/>
                            <w:left w:val="none" w:sz="0" w:space="0" w:color="auto"/>
                            <w:bottom w:val="none" w:sz="0" w:space="0" w:color="auto"/>
                            <w:right w:val="none" w:sz="0" w:space="0" w:color="auto"/>
                          </w:divBdr>
                          <w:divsChild>
                            <w:div w:id="140539850">
                              <w:marLeft w:val="-240"/>
                              <w:marRight w:val="-120"/>
                              <w:marTop w:val="0"/>
                              <w:marBottom w:val="0"/>
                              <w:divBdr>
                                <w:top w:val="none" w:sz="0" w:space="0" w:color="auto"/>
                                <w:left w:val="none" w:sz="0" w:space="0" w:color="auto"/>
                                <w:bottom w:val="none" w:sz="0" w:space="0" w:color="auto"/>
                                <w:right w:val="none" w:sz="0" w:space="0" w:color="auto"/>
                              </w:divBdr>
                              <w:divsChild>
                                <w:div w:id="1358195162">
                                  <w:marLeft w:val="0"/>
                                  <w:marRight w:val="0"/>
                                  <w:marTop w:val="0"/>
                                  <w:marBottom w:val="60"/>
                                  <w:divBdr>
                                    <w:top w:val="none" w:sz="0" w:space="0" w:color="auto"/>
                                    <w:left w:val="none" w:sz="0" w:space="0" w:color="auto"/>
                                    <w:bottom w:val="none" w:sz="0" w:space="0" w:color="auto"/>
                                    <w:right w:val="none" w:sz="0" w:space="0" w:color="auto"/>
                                  </w:divBdr>
                                  <w:divsChild>
                                    <w:div w:id="2003074916">
                                      <w:marLeft w:val="0"/>
                                      <w:marRight w:val="0"/>
                                      <w:marTop w:val="0"/>
                                      <w:marBottom w:val="0"/>
                                      <w:divBdr>
                                        <w:top w:val="none" w:sz="0" w:space="0" w:color="auto"/>
                                        <w:left w:val="none" w:sz="0" w:space="0" w:color="auto"/>
                                        <w:bottom w:val="none" w:sz="0" w:space="0" w:color="auto"/>
                                        <w:right w:val="none" w:sz="0" w:space="0" w:color="auto"/>
                                      </w:divBdr>
                                      <w:divsChild>
                                        <w:div w:id="525487486">
                                          <w:marLeft w:val="0"/>
                                          <w:marRight w:val="0"/>
                                          <w:marTop w:val="0"/>
                                          <w:marBottom w:val="0"/>
                                          <w:divBdr>
                                            <w:top w:val="none" w:sz="0" w:space="0" w:color="auto"/>
                                            <w:left w:val="none" w:sz="0" w:space="0" w:color="auto"/>
                                            <w:bottom w:val="none" w:sz="0" w:space="0" w:color="auto"/>
                                            <w:right w:val="none" w:sz="0" w:space="0" w:color="auto"/>
                                          </w:divBdr>
                                          <w:divsChild>
                                            <w:div w:id="1296568255">
                                              <w:marLeft w:val="0"/>
                                              <w:marRight w:val="0"/>
                                              <w:marTop w:val="0"/>
                                              <w:marBottom w:val="0"/>
                                              <w:divBdr>
                                                <w:top w:val="none" w:sz="0" w:space="0" w:color="auto"/>
                                                <w:left w:val="none" w:sz="0" w:space="0" w:color="auto"/>
                                                <w:bottom w:val="none" w:sz="0" w:space="0" w:color="auto"/>
                                                <w:right w:val="none" w:sz="0" w:space="0" w:color="auto"/>
                                              </w:divBdr>
                                              <w:divsChild>
                                                <w:div w:id="115880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580458">
          <w:marLeft w:val="0"/>
          <w:marRight w:val="0"/>
          <w:marTop w:val="0"/>
          <w:marBottom w:val="0"/>
          <w:divBdr>
            <w:top w:val="none" w:sz="0" w:space="0" w:color="auto"/>
            <w:left w:val="none" w:sz="0" w:space="0" w:color="auto"/>
            <w:bottom w:val="none" w:sz="0" w:space="0" w:color="auto"/>
            <w:right w:val="none" w:sz="0" w:space="0" w:color="auto"/>
          </w:divBdr>
          <w:divsChild>
            <w:div w:id="931202179">
              <w:marLeft w:val="0"/>
              <w:marRight w:val="0"/>
              <w:marTop w:val="0"/>
              <w:marBottom w:val="0"/>
              <w:divBdr>
                <w:top w:val="none" w:sz="0" w:space="0" w:color="auto"/>
                <w:left w:val="none" w:sz="0" w:space="0" w:color="auto"/>
                <w:bottom w:val="none" w:sz="0" w:space="0" w:color="auto"/>
                <w:right w:val="none" w:sz="0" w:space="0" w:color="auto"/>
              </w:divBdr>
              <w:divsChild>
                <w:div w:id="1401559083">
                  <w:marLeft w:val="0"/>
                  <w:marRight w:val="0"/>
                  <w:marTop w:val="0"/>
                  <w:marBottom w:val="0"/>
                  <w:divBdr>
                    <w:top w:val="none" w:sz="0" w:space="0" w:color="auto"/>
                    <w:left w:val="none" w:sz="0" w:space="0" w:color="auto"/>
                    <w:bottom w:val="none" w:sz="0" w:space="0" w:color="auto"/>
                    <w:right w:val="none" w:sz="0" w:space="0" w:color="auto"/>
                  </w:divBdr>
                  <w:divsChild>
                    <w:div w:id="971251556">
                      <w:marLeft w:val="0"/>
                      <w:marRight w:val="0"/>
                      <w:marTop w:val="0"/>
                      <w:marBottom w:val="0"/>
                      <w:divBdr>
                        <w:top w:val="none" w:sz="0" w:space="0" w:color="auto"/>
                        <w:left w:val="none" w:sz="0" w:space="0" w:color="auto"/>
                        <w:bottom w:val="none" w:sz="0" w:space="0" w:color="auto"/>
                        <w:right w:val="none" w:sz="0" w:space="0" w:color="auto"/>
                      </w:divBdr>
                      <w:divsChild>
                        <w:div w:id="372777384">
                          <w:marLeft w:val="0"/>
                          <w:marRight w:val="0"/>
                          <w:marTop w:val="0"/>
                          <w:marBottom w:val="0"/>
                          <w:divBdr>
                            <w:top w:val="none" w:sz="0" w:space="0" w:color="auto"/>
                            <w:left w:val="none" w:sz="0" w:space="0" w:color="auto"/>
                            <w:bottom w:val="none" w:sz="0" w:space="0" w:color="auto"/>
                            <w:right w:val="none" w:sz="0" w:space="0" w:color="auto"/>
                          </w:divBdr>
                          <w:divsChild>
                            <w:div w:id="16435408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983940">
      <w:bodyDiv w:val="1"/>
      <w:marLeft w:val="0"/>
      <w:marRight w:val="0"/>
      <w:marTop w:val="0"/>
      <w:marBottom w:val="0"/>
      <w:divBdr>
        <w:top w:val="none" w:sz="0" w:space="0" w:color="auto"/>
        <w:left w:val="none" w:sz="0" w:space="0" w:color="auto"/>
        <w:bottom w:val="none" w:sz="0" w:space="0" w:color="auto"/>
        <w:right w:val="none" w:sz="0" w:space="0" w:color="auto"/>
      </w:divBdr>
    </w:div>
    <w:div w:id="1402756433">
      <w:bodyDiv w:val="1"/>
      <w:marLeft w:val="0"/>
      <w:marRight w:val="0"/>
      <w:marTop w:val="0"/>
      <w:marBottom w:val="0"/>
      <w:divBdr>
        <w:top w:val="none" w:sz="0" w:space="0" w:color="auto"/>
        <w:left w:val="none" w:sz="0" w:space="0" w:color="auto"/>
        <w:bottom w:val="none" w:sz="0" w:space="0" w:color="auto"/>
        <w:right w:val="none" w:sz="0" w:space="0" w:color="auto"/>
      </w:divBdr>
    </w:div>
    <w:div w:id="1415319727">
      <w:bodyDiv w:val="1"/>
      <w:marLeft w:val="0"/>
      <w:marRight w:val="0"/>
      <w:marTop w:val="0"/>
      <w:marBottom w:val="0"/>
      <w:divBdr>
        <w:top w:val="none" w:sz="0" w:space="0" w:color="auto"/>
        <w:left w:val="none" w:sz="0" w:space="0" w:color="auto"/>
        <w:bottom w:val="none" w:sz="0" w:space="0" w:color="auto"/>
        <w:right w:val="none" w:sz="0" w:space="0" w:color="auto"/>
      </w:divBdr>
    </w:div>
    <w:div w:id="1427580975">
      <w:bodyDiv w:val="1"/>
      <w:marLeft w:val="0"/>
      <w:marRight w:val="0"/>
      <w:marTop w:val="0"/>
      <w:marBottom w:val="0"/>
      <w:divBdr>
        <w:top w:val="none" w:sz="0" w:space="0" w:color="auto"/>
        <w:left w:val="none" w:sz="0" w:space="0" w:color="auto"/>
        <w:bottom w:val="none" w:sz="0" w:space="0" w:color="auto"/>
        <w:right w:val="none" w:sz="0" w:space="0" w:color="auto"/>
      </w:divBdr>
    </w:div>
    <w:div w:id="1432748788">
      <w:bodyDiv w:val="1"/>
      <w:marLeft w:val="0"/>
      <w:marRight w:val="0"/>
      <w:marTop w:val="0"/>
      <w:marBottom w:val="0"/>
      <w:divBdr>
        <w:top w:val="none" w:sz="0" w:space="0" w:color="auto"/>
        <w:left w:val="none" w:sz="0" w:space="0" w:color="auto"/>
        <w:bottom w:val="none" w:sz="0" w:space="0" w:color="auto"/>
        <w:right w:val="none" w:sz="0" w:space="0" w:color="auto"/>
      </w:divBdr>
    </w:div>
    <w:div w:id="1448086929">
      <w:bodyDiv w:val="1"/>
      <w:marLeft w:val="0"/>
      <w:marRight w:val="0"/>
      <w:marTop w:val="0"/>
      <w:marBottom w:val="0"/>
      <w:divBdr>
        <w:top w:val="none" w:sz="0" w:space="0" w:color="auto"/>
        <w:left w:val="none" w:sz="0" w:space="0" w:color="auto"/>
        <w:bottom w:val="none" w:sz="0" w:space="0" w:color="auto"/>
        <w:right w:val="none" w:sz="0" w:space="0" w:color="auto"/>
      </w:divBdr>
    </w:div>
    <w:div w:id="1466393100">
      <w:bodyDiv w:val="1"/>
      <w:marLeft w:val="0"/>
      <w:marRight w:val="0"/>
      <w:marTop w:val="0"/>
      <w:marBottom w:val="0"/>
      <w:divBdr>
        <w:top w:val="none" w:sz="0" w:space="0" w:color="auto"/>
        <w:left w:val="none" w:sz="0" w:space="0" w:color="auto"/>
        <w:bottom w:val="none" w:sz="0" w:space="0" w:color="auto"/>
        <w:right w:val="none" w:sz="0" w:space="0" w:color="auto"/>
      </w:divBdr>
    </w:div>
    <w:div w:id="1477334806">
      <w:bodyDiv w:val="1"/>
      <w:marLeft w:val="0"/>
      <w:marRight w:val="0"/>
      <w:marTop w:val="0"/>
      <w:marBottom w:val="0"/>
      <w:divBdr>
        <w:top w:val="none" w:sz="0" w:space="0" w:color="auto"/>
        <w:left w:val="none" w:sz="0" w:space="0" w:color="auto"/>
        <w:bottom w:val="none" w:sz="0" w:space="0" w:color="auto"/>
        <w:right w:val="none" w:sz="0" w:space="0" w:color="auto"/>
      </w:divBdr>
    </w:div>
    <w:div w:id="1486045083">
      <w:bodyDiv w:val="1"/>
      <w:marLeft w:val="0"/>
      <w:marRight w:val="0"/>
      <w:marTop w:val="0"/>
      <w:marBottom w:val="0"/>
      <w:divBdr>
        <w:top w:val="none" w:sz="0" w:space="0" w:color="auto"/>
        <w:left w:val="none" w:sz="0" w:space="0" w:color="auto"/>
        <w:bottom w:val="none" w:sz="0" w:space="0" w:color="auto"/>
        <w:right w:val="none" w:sz="0" w:space="0" w:color="auto"/>
      </w:divBdr>
    </w:div>
    <w:div w:id="1490826101">
      <w:bodyDiv w:val="1"/>
      <w:marLeft w:val="0"/>
      <w:marRight w:val="0"/>
      <w:marTop w:val="0"/>
      <w:marBottom w:val="0"/>
      <w:divBdr>
        <w:top w:val="none" w:sz="0" w:space="0" w:color="auto"/>
        <w:left w:val="none" w:sz="0" w:space="0" w:color="auto"/>
        <w:bottom w:val="none" w:sz="0" w:space="0" w:color="auto"/>
        <w:right w:val="none" w:sz="0" w:space="0" w:color="auto"/>
      </w:divBdr>
    </w:div>
    <w:div w:id="1505365135">
      <w:bodyDiv w:val="1"/>
      <w:marLeft w:val="0"/>
      <w:marRight w:val="0"/>
      <w:marTop w:val="0"/>
      <w:marBottom w:val="0"/>
      <w:divBdr>
        <w:top w:val="none" w:sz="0" w:space="0" w:color="auto"/>
        <w:left w:val="none" w:sz="0" w:space="0" w:color="auto"/>
        <w:bottom w:val="none" w:sz="0" w:space="0" w:color="auto"/>
        <w:right w:val="none" w:sz="0" w:space="0" w:color="auto"/>
      </w:divBdr>
    </w:div>
    <w:div w:id="1515071356">
      <w:bodyDiv w:val="1"/>
      <w:marLeft w:val="0"/>
      <w:marRight w:val="0"/>
      <w:marTop w:val="0"/>
      <w:marBottom w:val="0"/>
      <w:divBdr>
        <w:top w:val="none" w:sz="0" w:space="0" w:color="auto"/>
        <w:left w:val="none" w:sz="0" w:space="0" w:color="auto"/>
        <w:bottom w:val="none" w:sz="0" w:space="0" w:color="auto"/>
        <w:right w:val="none" w:sz="0" w:space="0" w:color="auto"/>
      </w:divBdr>
    </w:div>
    <w:div w:id="1525748732">
      <w:bodyDiv w:val="1"/>
      <w:marLeft w:val="0"/>
      <w:marRight w:val="0"/>
      <w:marTop w:val="0"/>
      <w:marBottom w:val="0"/>
      <w:divBdr>
        <w:top w:val="none" w:sz="0" w:space="0" w:color="auto"/>
        <w:left w:val="none" w:sz="0" w:space="0" w:color="auto"/>
        <w:bottom w:val="none" w:sz="0" w:space="0" w:color="auto"/>
        <w:right w:val="none" w:sz="0" w:space="0" w:color="auto"/>
      </w:divBdr>
    </w:div>
    <w:div w:id="1527333314">
      <w:bodyDiv w:val="1"/>
      <w:marLeft w:val="0"/>
      <w:marRight w:val="0"/>
      <w:marTop w:val="0"/>
      <w:marBottom w:val="0"/>
      <w:divBdr>
        <w:top w:val="none" w:sz="0" w:space="0" w:color="auto"/>
        <w:left w:val="none" w:sz="0" w:space="0" w:color="auto"/>
        <w:bottom w:val="none" w:sz="0" w:space="0" w:color="auto"/>
        <w:right w:val="none" w:sz="0" w:space="0" w:color="auto"/>
      </w:divBdr>
    </w:div>
    <w:div w:id="1537544006">
      <w:bodyDiv w:val="1"/>
      <w:marLeft w:val="0"/>
      <w:marRight w:val="0"/>
      <w:marTop w:val="0"/>
      <w:marBottom w:val="0"/>
      <w:divBdr>
        <w:top w:val="none" w:sz="0" w:space="0" w:color="auto"/>
        <w:left w:val="none" w:sz="0" w:space="0" w:color="auto"/>
        <w:bottom w:val="none" w:sz="0" w:space="0" w:color="auto"/>
        <w:right w:val="none" w:sz="0" w:space="0" w:color="auto"/>
      </w:divBdr>
    </w:div>
    <w:div w:id="1537621267">
      <w:bodyDiv w:val="1"/>
      <w:marLeft w:val="0"/>
      <w:marRight w:val="0"/>
      <w:marTop w:val="0"/>
      <w:marBottom w:val="0"/>
      <w:divBdr>
        <w:top w:val="none" w:sz="0" w:space="0" w:color="auto"/>
        <w:left w:val="none" w:sz="0" w:space="0" w:color="auto"/>
        <w:bottom w:val="none" w:sz="0" w:space="0" w:color="auto"/>
        <w:right w:val="none" w:sz="0" w:space="0" w:color="auto"/>
      </w:divBdr>
    </w:div>
    <w:div w:id="1543636211">
      <w:bodyDiv w:val="1"/>
      <w:marLeft w:val="0"/>
      <w:marRight w:val="0"/>
      <w:marTop w:val="0"/>
      <w:marBottom w:val="0"/>
      <w:divBdr>
        <w:top w:val="none" w:sz="0" w:space="0" w:color="auto"/>
        <w:left w:val="none" w:sz="0" w:space="0" w:color="auto"/>
        <w:bottom w:val="none" w:sz="0" w:space="0" w:color="auto"/>
        <w:right w:val="none" w:sz="0" w:space="0" w:color="auto"/>
      </w:divBdr>
    </w:div>
    <w:div w:id="1561096283">
      <w:bodyDiv w:val="1"/>
      <w:marLeft w:val="0"/>
      <w:marRight w:val="0"/>
      <w:marTop w:val="0"/>
      <w:marBottom w:val="0"/>
      <w:divBdr>
        <w:top w:val="none" w:sz="0" w:space="0" w:color="auto"/>
        <w:left w:val="none" w:sz="0" w:space="0" w:color="auto"/>
        <w:bottom w:val="none" w:sz="0" w:space="0" w:color="auto"/>
        <w:right w:val="none" w:sz="0" w:space="0" w:color="auto"/>
      </w:divBdr>
      <w:divsChild>
        <w:div w:id="1404377111">
          <w:marLeft w:val="0"/>
          <w:marRight w:val="0"/>
          <w:marTop w:val="0"/>
          <w:marBottom w:val="0"/>
          <w:divBdr>
            <w:top w:val="none" w:sz="0" w:space="0" w:color="auto"/>
            <w:left w:val="none" w:sz="0" w:space="0" w:color="auto"/>
            <w:bottom w:val="none" w:sz="0" w:space="0" w:color="auto"/>
            <w:right w:val="none" w:sz="0" w:space="0" w:color="auto"/>
          </w:divBdr>
          <w:divsChild>
            <w:div w:id="1683043480">
              <w:marLeft w:val="0"/>
              <w:marRight w:val="0"/>
              <w:marTop w:val="0"/>
              <w:marBottom w:val="0"/>
              <w:divBdr>
                <w:top w:val="none" w:sz="0" w:space="0" w:color="auto"/>
                <w:left w:val="none" w:sz="0" w:space="0" w:color="auto"/>
                <w:bottom w:val="none" w:sz="0" w:space="0" w:color="auto"/>
                <w:right w:val="none" w:sz="0" w:space="0" w:color="auto"/>
              </w:divBdr>
              <w:divsChild>
                <w:div w:id="1583903901">
                  <w:marLeft w:val="0"/>
                  <w:marRight w:val="0"/>
                  <w:marTop w:val="0"/>
                  <w:marBottom w:val="0"/>
                  <w:divBdr>
                    <w:top w:val="none" w:sz="0" w:space="0" w:color="auto"/>
                    <w:left w:val="none" w:sz="0" w:space="0" w:color="auto"/>
                    <w:bottom w:val="none" w:sz="0" w:space="0" w:color="auto"/>
                    <w:right w:val="none" w:sz="0" w:space="0" w:color="auto"/>
                  </w:divBdr>
                  <w:divsChild>
                    <w:div w:id="2025085874">
                      <w:marLeft w:val="0"/>
                      <w:marRight w:val="0"/>
                      <w:marTop w:val="0"/>
                      <w:marBottom w:val="0"/>
                      <w:divBdr>
                        <w:top w:val="none" w:sz="0" w:space="0" w:color="auto"/>
                        <w:left w:val="none" w:sz="0" w:space="0" w:color="auto"/>
                        <w:bottom w:val="none" w:sz="0" w:space="0" w:color="auto"/>
                        <w:right w:val="none" w:sz="0" w:space="0" w:color="auto"/>
                      </w:divBdr>
                      <w:divsChild>
                        <w:div w:id="1842816943">
                          <w:marLeft w:val="0"/>
                          <w:marRight w:val="0"/>
                          <w:marTop w:val="0"/>
                          <w:marBottom w:val="0"/>
                          <w:divBdr>
                            <w:top w:val="none" w:sz="0" w:space="0" w:color="auto"/>
                            <w:left w:val="none" w:sz="0" w:space="0" w:color="auto"/>
                            <w:bottom w:val="none" w:sz="0" w:space="0" w:color="auto"/>
                            <w:right w:val="none" w:sz="0" w:space="0" w:color="auto"/>
                          </w:divBdr>
                          <w:divsChild>
                            <w:div w:id="100032295">
                              <w:marLeft w:val="-240"/>
                              <w:marRight w:val="-120"/>
                              <w:marTop w:val="0"/>
                              <w:marBottom w:val="0"/>
                              <w:divBdr>
                                <w:top w:val="none" w:sz="0" w:space="0" w:color="auto"/>
                                <w:left w:val="none" w:sz="0" w:space="0" w:color="auto"/>
                                <w:bottom w:val="none" w:sz="0" w:space="0" w:color="auto"/>
                                <w:right w:val="none" w:sz="0" w:space="0" w:color="auto"/>
                              </w:divBdr>
                              <w:divsChild>
                                <w:div w:id="787042867">
                                  <w:marLeft w:val="0"/>
                                  <w:marRight w:val="0"/>
                                  <w:marTop w:val="0"/>
                                  <w:marBottom w:val="60"/>
                                  <w:divBdr>
                                    <w:top w:val="none" w:sz="0" w:space="0" w:color="auto"/>
                                    <w:left w:val="none" w:sz="0" w:space="0" w:color="auto"/>
                                    <w:bottom w:val="none" w:sz="0" w:space="0" w:color="auto"/>
                                    <w:right w:val="none" w:sz="0" w:space="0" w:color="auto"/>
                                  </w:divBdr>
                                  <w:divsChild>
                                    <w:div w:id="400911582">
                                      <w:marLeft w:val="0"/>
                                      <w:marRight w:val="0"/>
                                      <w:marTop w:val="0"/>
                                      <w:marBottom w:val="0"/>
                                      <w:divBdr>
                                        <w:top w:val="none" w:sz="0" w:space="0" w:color="auto"/>
                                        <w:left w:val="none" w:sz="0" w:space="0" w:color="auto"/>
                                        <w:bottom w:val="none" w:sz="0" w:space="0" w:color="auto"/>
                                        <w:right w:val="none" w:sz="0" w:space="0" w:color="auto"/>
                                      </w:divBdr>
                                      <w:divsChild>
                                        <w:div w:id="1690375063">
                                          <w:marLeft w:val="0"/>
                                          <w:marRight w:val="0"/>
                                          <w:marTop w:val="0"/>
                                          <w:marBottom w:val="0"/>
                                          <w:divBdr>
                                            <w:top w:val="none" w:sz="0" w:space="0" w:color="auto"/>
                                            <w:left w:val="none" w:sz="0" w:space="0" w:color="auto"/>
                                            <w:bottom w:val="none" w:sz="0" w:space="0" w:color="auto"/>
                                            <w:right w:val="none" w:sz="0" w:space="0" w:color="auto"/>
                                          </w:divBdr>
                                          <w:divsChild>
                                            <w:div w:id="840437373">
                                              <w:marLeft w:val="0"/>
                                              <w:marRight w:val="0"/>
                                              <w:marTop w:val="0"/>
                                              <w:marBottom w:val="0"/>
                                              <w:divBdr>
                                                <w:top w:val="none" w:sz="0" w:space="0" w:color="auto"/>
                                                <w:left w:val="none" w:sz="0" w:space="0" w:color="auto"/>
                                                <w:bottom w:val="none" w:sz="0" w:space="0" w:color="auto"/>
                                                <w:right w:val="none" w:sz="0" w:space="0" w:color="auto"/>
                                              </w:divBdr>
                                              <w:divsChild>
                                                <w:div w:id="153380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2195130">
          <w:marLeft w:val="0"/>
          <w:marRight w:val="0"/>
          <w:marTop w:val="0"/>
          <w:marBottom w:val="0"/>
          <w:divBdr>
            <w:top w:val="none" w:sz="0" w:space="0" w:color="auto"/>
            <w:left w:val="none" w:sz="0" w:space="0" w:color="auto"/>
            <w:bottom w:val="none" w:sz="0" w:space="0" w:color="auto"/>
            <w:right w:val="none" w:sz="0" w:space="0" w:color="auto"/>
          </w:divBdr>
          <w:divsChild>
            <w:div w:id="306597070">
              <w:marLeft w:val="0"/>
              <w:marRight w:val="0"/>
              <w:marTop w:val="0"/>
              <w:marBottom w:val="0"/>
              <w:divBdr>
                <w:top w:val="none" w:sz="0" w:space="0" w:color="auto"/>
                <w:left w:val="none" w:sz="0" w:space="0" w:color="auto"/>
                <w:bottom w:val="none" w:sz="0" w:space="0" w:color="auto"/>
                <w:right w:val="none" w:sz="0" w:space="0" w:color="auto"/>
              </w:divBdr>
              <w:divsChild>
                <w:div w:id="1052845863">
                  <w:marLeft w:val="0"/>
                  <w:marRight w:val="0"/>
                  <w:marTop w:val="0"/>
                  <w:marBottom w:val="0"/>
                  <w:divBdr>
                    <w:top w:val="none" w:sz="0" w:space="0" w:color="auto"/>
                    <w:left w:val="none" w:sz="0" w:space="0" w:color="auto"/>
                    <w:bottom w:val="none" w:sz="0" w:space="0" w:color="auto"/>
                    <w:right w:val="none" w:sz="0" w:space="0" w:color="auto"/>
                  </w:divBdr>
                  <w:divsChild>
                    <w:div w:id="1448890302">
                      <w:marLeft w:val="0"/>
                      <w:marRight w:val="0"/>
                      <w:marTop w:val="0"/>
                      <w:marBottom w:val="0"/>
                      <w:divBdr>
                        <w:top w:val="none" w:sz="0" w:space="0" w:color="auto"/>
                        <w:left w:val="none" w:sz="0" w:space="0" w:color="auto"/>
                        <w:bottom w:val="none" w:sz="0" w:space="0" w:color="auto"/>
                        <w:right w:val="none" w:sz="0" w:space="0" w:color="auto"/>
                      </w:divBdr>
                      <w:divsChild>
                        <w:div w:id="1050615185">
                          <w:marLeft w:val="0"/>
                          <w:marRight w:val="0"/>
                          <w:marTop w:val="0"/>
                          <w:marBottom w:val="0"/>
                          <w:divBdr>
                            <w:top w:val="none" w:sz="0" w:space="0" w:color="auto"/>
                            <w:left w:val="none" w:sz="0" w:space="0" w:color="auto"/>
                            <w:bottom w:val="none" w:sz="0" w:space="0" w:color="auto"/>
                            <w:right w:val="none" w:sz="0" w:space="0" w:color="auto"/>
                          </w:divBdr>
                          <w:divsChild>
                            <w:div w:id="9209155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685265">
      <w:bodyDiv w:val="1"/>
      <w:marLeft w:val="0"/>
      <w:marRight w:val="0"/>
      <w:marTop w:val="0"/>
      <w:marBottom w:val="0"/>
      <w:divBdr>
        <w:top w:val="none" w:sz="0" w:space="0" w:color="auto"/>
        <w:left w:val="none" w:sz="0" w:space="0" w:color="auto"/>
        <w:bottom w:val="none" w:sz="0" w:space="0" w:color="auto"/>
        <w:right w:val="none" w:sz="0" w:space="0" w:color="auto"/>
      </w:divBdr>
    </w:div>
    <w:div w:id="1570656694">
      <w:bodyDiv w:val="1"/>
      <w:marLeft w:val="0"/>
      <w:marRight w:val="0"/>
      <w:marTop w:val="0"/>
      <w:marBottom w:val="0"/>
      <w:divBdr>
        <w:top w:val="none" w:sz="0" w:space="0" w:color="auto"/>
        <w:left w:val="none" w:sz="0" w:space="0" w:color="auto"/>
        <w:bottom w:val="none" w:sz="0" w:space="0" w:color="auto"/>
        <w:right w:val="none" w:sz="0" w:space="0" w:color="auto"/>
      </w:divBdr>
    </w:div>
    <w:div w:id="1604147167">
      <w:bodyDiv w:val="1"/>
      <w:marLeft w:val="0"/>
      <w:marRight w:val="0"/>
      <w:marTop w:val="0"/>
      <w:marBottom w:val="0"/>
      <w:divBdr>
        <w:top w:val="none" w:sz="0" w:space="0" w:color="auto"/>
        <w:left w:val="none" w:sz="0" w:space="0" w:color="auto"/>
        <w:bottom w:val="none" w:sz="0" w:space="0" w:color="auto"/>
        <w:right w:val="none" w:sz="0" w:space="0" w:color="auto"/>
      </w:divBdr>
    </w:div>
    <w:div w:id="1606617887">
      <w:bodyDiv w:val="1"/>
      <w:marLeft w:val="0"/>
      <w:marRight w:val="0"/>
      <w:marTop w:val="0"/>
      <w:marBottom w:val="0"/>
      <w:divBdr>
        <w:top w:val="none" w:sz="0" w:space="0" w:color="auto"/>
        <w:left w:val="none" w:sz="0" w:space="0" w:color="auto"/>
        <w:bottom w:val="none" w:sz="0" w:space="0" w:color="auto"/>
        <w:right w:val="none" w:sz="0" w:space="0" w:color="auto"/>
      </w:divBdr>
    </w:div>
    <w:div w:id="1617565144">
      <w:bodyDiv w:val="1"/>
      <w:marLeft w:val="0"/>
      <w:marRight w:val="0"/>
      <w:marTop w:val="0"/>
      <w:marBottom w:val="0"/>
      <w:divBdr>
        <w:top w:val="none" w:sz="0" w:space="0" w:color="auto"/>
        <w:left w:val="none" w:sz="0" w:space="0" w:color="auto"/>
        <w:bottom w:val="none" w:sz="0" w:space="0" w:color="auto"/>
        <w:right w:val="none" w:sz="0" w:space="0" w:color="auto"/>
      </w:divBdr>
    </w:div>
    <w:div w:id="1619335751">
      <w:bodyDiv w:val="1"/>
      <w:marLeft w:val="0"/>
      <w:marRight w:val="0"/>
      <w:marTop w:val="0"/>
      <w:marBottom w:val="0"/>
      <w:divBdr>
        <w:top w:val="none" w:sz="0" w:space="0" w:color="auto"/>
        <w:left w:val="none" w:sz="0" w:space="0" w:color="auto"/>
        <w:bottom w:val="none" w:sz="0" w:space="0" w:color="auto"/>
        <w:right w:val="none" w:sz="0" w:space="0" w:color="auto"/>
      </w:divBdr>
    </w:div>
    <w:div w:id="1625039533">
      <w:bodyDiv w:val="1"/>
      <w:marLeft w:val="0"/>
      <w:marRight w:val="0"/>
      <w:marTop w:val="0"/>
      <w:marBottom w:val="0"/>
      <w:divBdr>
        <w:top w:val="none" w:sz="0" w:space="0" w:color="auto"/>
        <w:left w:val="none" w:sz="0" w:space="0" w:color="auto"/>
        <w:bottom w:val="none" w:sz="0" w:space="0" w:color="auto"/>
        <w:right w:val="none" w:sz="0" w:space="0" w:color="auto"/>
      </w:divBdr>
    </w:div>
    <w:div w:id="1631788904">
      <w:bodyDiv w:val="1"/>
      <w:marLeft w:val="0"/>
      <w:marRight w:val="0"/>
      <w:marTop w:val="0"/>
      <w:marBottom w:val="0"/>
      <w:divBdr>
        <w:top w:val="none" w:sz="0" w:space="0" w:color="auto"/>
        <w:left w:val="none" w:sz="0" w:space="0" w:color="auto"/>
        <w:bottom w:val="none" w:sz="0" w:space="0" w:color="auto"/>
        <w:right w:val="none" w:sz="0" w:space="0" w:color="auto"/>
      </w:divBdr>
    </w:div>
    <w:div w:id="1633050069">
      <w:bodyDiv w:val="1"/>
      <w:marLeft w:val="0"/>
      <w:marRight w:val="0"/>
      <w:marTop w:val="0"/>
      <w:marBottom w:val="0"/>
      <w:divBdr>
        <w:top w:val="none" w:sz="0" w:space="0" w:color="auto"/>
        <w:left w:val="none" w:sz="0" w:space="0" w:color="auto"/>
        <w:bottom w:val="none" w:sz="0" w:space="0" w:color="auto"/>
        <w:right w:val="none" w:sz="0" w:space="0" w:color="auto"/>
      </w:divBdr>
    </w:div>
    <w:div w:id="1642268482">
      <w:bodyDiv w:val="1"/>
      <w:marLeft w:val="0"/>
      <w:marRight w:val="0"/>
      <w:marTop w:val="0"/>
      <w:marBottom w:val="0"/>
      <w:divBdr>
        <w:top w:val="none" w:sz="0" w:space="0" w:color="auto"/>
        <w:left w:val="none" w:sz="0" w:space="0" w:color="auto"/>
        <w:bottom w:val="none" w:sz="0" w:space="0" w:color="auto"/>
        <w:right w:val="none" w:sz="0" w:space="0" w:color="auto"/>
      </w:divBdr>
    </w:div>
    <w:div w:id="1646743384">
      <w:bodyDiv w:val="1"/>
      <w:marLeft w:val="0"/>
      <w:marRight w:val="0"/>
      <w:marTop w:val="0"/>
      <w:marBottom w:val="0"/>
      <w:divBdr>
        <w:top w:val="none" w:sz="0" w:space="0" w:color="auto"/>
        <w:left w:val="none" w:sz="0" w:space="0" w:color="auto"/>
        <w:bottom w:val="none" w:sz="0" w:space="0" w:color="auto"/>
        <w:right w:val="none" w:sz="0" w:space="0" w:color="auto"/>
      </w:divBdr>
    </w:div>
    <w:div w:id="1650597586">
      <w:bodyDiv w:val="1"/>
      <w:marLeft w:val="0"/>
      <w:marRight w:val="0"/>
      <w:marTop w:val="0"/>
      <w:marBottom w:val="0"/>
      <w:divBdr>
        <w:top w:val="none" w:sz="0" w:space="0" w:color="auto"/>
        <w:left w:val="none" w:sz="0" w:space="0" w:color="auto"/>
        <w:bottom w:val="none" w:sz="0" w:space="0" w:color="auto"/>
        <w:right w:val="none" w:sz="0" w:space="0" w:color="auto"/>
      </w:divBdr>
    </w:div>
    <w:div w:id="1669481068">
      <w:bodyDiv w:val="1"/>
      <w:marLeft w:val="0"/>
      <w:marRight w:val="0"/>
      <w:marTop w:val="0"/>
      <w:marBottom w:val="0"/>
      <w:divBdr>
        <w:top w:val="none" w:sz="0" w:space="0" w:color="auto"/>
        <w:left w:val="none" w:sz="0" w:space="0" w:color="auto"/>
        <w:bottom w:val="none" w:sz="0" w:space="0" w:color="auto"/>
        <w:right w:val="none" w:sz="0" w:space="0" w:color="auto"/>
      </w:divBdr>
    </w:div>
    <w:div w:id="1689794745">
      <w:bodyDiv w:val="1"/>
      <w:marLeft w:val="0"/>
      <w:marRight w:val="0"/>
      <w:marTop w:val="0"/>
      <w:marBottom w:val="0"/>
      <w:divBdr>
        <w:top w:val="none" w:sz="0" w:space="0" w:color="auto"/>
        <w:left w:val="none" w:sz="0" w:space="0" w:color="auto"/>
        <w:bottom w:val="none" w:sz="0" w:space="0" w:color="auto"/>
        <w:right w:val="none" w:sz="0" w:space="0" w:color="auto"/>
      </w:divBdr>
    </w:div>
    <w:div w:id="1706641328">
      <w:bodyDiv w:val="1"/>
      <w:marLeft w:val="0"/>
      <w:marRight w:val="0"/>
      <w:marTop w:val="0"/>
      <w:marBottom w:val="0"/>
      <w:divBdr>
        <w:top w:val="none" w:sz="0" w:space="0" w:color="auto"/>
        <w:left w:val="none" w:sz="0" w:space="0" w:color="auto"/>
        <w:bottom w:val="none" w:sz="0" w:space="0" w:color="auto"/>
        <w:right w:val="none" w:sz="0" w:space="0" w:color="auto"/>
      </w:divBdr>
    </w:div>
    <w:div w:id="1727801001">
      <w:bodyDiv w:val="1"/>
      <w:marLeft w:val="0"/>
      <w:marRight w:val="0"/>
      <w:marTop w:val="0"/>
      <w:marBottom w:val="0"/>
      <w:divBdr>
        <w:top w:val="none" w:sz="0" w:space="0" w:color="auto"/>
        <w:left w:val="none" w:sz="0" w:space="0" w:color="auto"/>
        <w:bottom w:val="none" w:sz="0" w:space="0" w:color="auto"/>
        <w:right w:val="none" w:sz="0" w:space="0" w:color="auto"/>
      </w:divBdr>
    </w:div>
    <w:div w:id="1728413686">
      <w:bodyDiv w:val="1"/>
      <w:marLeft w:val="0"/>
      <w:marRight w:val="0"/>
      <w:marTop w:val="0"/>
      <w:marBottom w:val="0"/>
      <w:divBdr>
        <w:top w:val="none" w:sz="0" w:space="0" w:color="auto"/>
        <w:left w:val="none" w:sz="0" w:space="0" w:color="auto"/>
        <w:bottom w:val="none" w:sz="0" w:space="0" w:color="auto"/>
        <w:right w:val="none" w:sz="0" w:space="0" w:color="auto"/>
      </w:divBdr>
    </w:div>
    <w:div w:id="1745420699">
      <w:bodyDiv w:val="1"/>
      <w:marLeft w:val="0"/>
      <w:marRight w:val="0"/>
      <w:marTop w:val="0"/>
      <w:marBottom w:val="0"/>
      <w:divBdr>
        <w:top w:val="none" w:sz="0" w:space="0" w:color="auto"/>
        <w:left w:val="none" w:sz="0" w:space="0" w:color="auto"/>
        <w:bottom w:val="none" w:sz="0" w:space="0" w:color="auto"/>
        <w:right w:val="none" w:sz="0" w:space="0" w:color="auto"/>
      </w:divBdr>
    </w:div>
    <w:div w:id="1756635211">
      <w:bodyDiv w:val="1"/>
      <w:marLeft w:val="0"/>
      <w:marRight w:val="0"/>
      <w:marTop w:val="0"/>
      <w:marBottom w:val="0"/>
      <w:divBdr>
        <w:top w:val="none" w:sz="0" w:space="0" w:color="auto"/>
        <w:left w:val="none" w:sz="0" w:space="0" w:color="auto"/>
        <w:bottom w:val="none" w:sz="0" w:space="0" w:color="auto"/>
        <w:right w:val="none" w:sz="0" w:space="0" w:color="auto"/>
      </w:divBdr>
    </w:div>
    <w:div w:id="1765415423">
      <w:bodyDiv w:val="1"/>
      <w:marLeft w:val="0"/>
      <w:marRight w:val="0"/>
      <w:marTop w:val="0"/>
      <w:marBottom w:val="0"/>
      <w:divBdr>
        <w:top w:val="none" w:sz="0" w:space="0" w:color="auto"/>
        <w:left w:val="none" w:sz="0" w:space="0" w:color="auto"/>
        <w:bottom w:val="none" w:sz="0" w:space="0" w:color="auto"/>
        <w:right w:val="none" w:sz="0" w:space="0" w:color="auto"/>
      </w:divBdr>
    </w:div>
    <w:div w:id="1783767065">
      <w:bodyDiv w:val="1"/>
      <w:marLeft w:val="0"/>
      <w:marRight w:val="0"/>
      <w:marTop w:val="0"/>
      <w:marBottom w:val="0"/>
      <w:divBdr>
        <w:top w:val="none" w:sz="0" w:space="0" w:color="auto"/>
        <w:left w:val="none" w:sz="0" w:space="0" w:color="auto"/>
        <w:bottom w:val="none" w:sz="0" w:space="0" w:color="auto"/>
        <w:right w:val="none" w:sz="0" w:space="0" w:color="auto"/>
      </w:divBdr>
    </w:div>
    <w:div w:id="1787650397">
      <w:bodyDiv w:val="1"/>
      <w:marLeft w:val="0"/>
      <w:marRight w:val="0"/>
      <w:marTop w:val="0"/>
      <w:marBottom w:val="0"/>
      <w:divBdr>
        <w:top w:val="none" w:sz="0" w:space="0" w:color="auto"/>
        <w:left w:val="none" w:sz="0" w:space="0" w:color="auto"/>
        <w:bottom w:val="none" w:sz="0" w:space="0" w:color="auto"/>
        <w:right w:val="none" w:sz="0" w:space="0" w:color="auto"/>
      </w:divBdr>
    </w:div>
    <w:div w:id="1838762535">
      <w:bodyDiv w:val="1"/>
      <w:marLeft w:val="0"/>
      <w:marRight w:val="0"/>
      <w:marTop w:val="0"/>
      <w:marBottom w:val="0"/>
      <w:divBdr>
        <w:top w:val="none" w:sz="0" w:space="0" w:color="auto"/>
        <w:left w:val="none" w:sz="0" w:space="0" w:color="auto"/>
        <w:bottom w:val="none" w:sz="0" w:space="0" w:color="auto"/>
        <w:right w:val="none" w:sz="0" w:space="0" w:color="auto"/>
      </w:divBdr>
    </w:div>
    <w:div w:id="1866944421">
      <w:bodyDiv w:val="1"/>
      <w:marLeft w:val="0"/>
      <w:marRight w:val="0"/>
      <w:marTop w:val="0"/>
      <w:marBottom w:val="0"/>
      <w:divBdr>
        <w:top w:val="none" w:sz="0" w:space="0" w:color="auto"/>
        <w:left w:val="none" w:sz="0" w:space="0" w:color="auto"/>
        <w:bottom w:val="none" w:sz="0" w:space="0" w:color="auto"/>
        <w:right w:val="none" w:sz="0" w:space="0" w:color="auto"/>
      </w:divBdr>
    </w:div>
    <w:div w:id="1880194248">
      <w:bodyDiv w:val="1"/>
      <w:marLeft w:val="0"/>
      <w:marRight w:val="0"/>
      <w:marTop w:val="0"/>
      <w:marBottom w:val="0"/>
      <w:divBdr>
        <w:top w:val="none" w:sz="0" w:space="0" w:color="auto"/>
        <w:left w:val="none" w:sz="0" w:space="0" w:color="auto"/>
        <w:bottom w:val="none" w:sz="0" w:space="0" w:color="auto"/>
        <w:right w:val="none" w:sz="0" w:space="0" w:color="auto"/>
      </w:divBdr>
    </w:div>
    <w:div w:id="1887832551">
      <w:bodyDiv w:val="1"/>
      <w:marLeft w:val="0"/>
      <w:marRight w:val="0"/>
      <w:marTop w:val="0"/>
      <w:marBottom w:val="0"/>
      <w:divBdr>
        <w:top w:val="none" w:sz="0" w:space="0" w:color="auto"/>
        <w:left w:val="none" w:sz="0" w:space="0" w:color="auto"/>
        <w:bottom w:val="none" w:sz="0" w:space="0" w:color="auto"/>
        <w:right w:val="none" w:sz="0" w:space="0" w:color="auto"/>
      </w:divBdr>
    </w:div>
    <w:div w:id="1895655188">
      <w:bodyDiv w:val="1"/>
      <w:marLeft w:val="0"/>
      <w:marRight w:val="0"/>
      <w:marTop w:val="0"/>
      <w:marBottom w:val="0"/>
      <w:divBdr>
        <w:top w:val="none" w:sz="0" w:space="0" w:color="auto"/>
        <w:left w:val="none" w:sz="0" w:space="0" w:color="auto"/>
        <w:bottom w:val="none" w:sz="0" w:space="0" w:color="auto"/>
        <w:right w:val="none" w:sz="0" w:space="0" w:color="auto"/>
      </w:divBdr>
    </w:div>
    <w:div w:id="1933393713">
      <w:bodyDiv w:val="1"/>
      <w:marLeft w:val="0"/>
      <w:marRight w:val="0"/>
      <w:marTop w:val="0"/>
      <w:marBottom w:val="0"/>
      <w:divBdr>
        <w:top w:val="none" w:sz="0" w:space="0" w:color="auto"/>
        <w:left w:val="none" w:sz="0" w:space="0" w:color="auto"/>
        <w:bottom w:val="none" w:sz="0" w:space="0" w:color="auto"/>
        <w:right w:val="none" w:sz="0" w:space="0" w:color="auto"/>
      </w:divBdr>
    </w:div>
    <w:div w:id="1943687261">
      <w:bodyDiv w:val="1"/>
      <w:marLeft w:val="0"/>
      <w:marRight w:val="0"/>
      <w:marTop w:val="0"/>
      <w:marBottom w:val="0"/>
      <w:divBdr>
        <w:top w:val="none" w:sz="0" w:space="0" w:color="auto"/>
        <w:left w:val="none" w:sz="0" w:space="0" w:color="auto"/>
        <w:bottom w:val="none" w:sz="0" w:space="0" w:color="auto"/>
        <w:right w:val="none" w:sz="0" w:space="0" w:color="auto"/>
      </w:divBdr>
    </w:div>
    <w:div w:id="1949312557">
      <w:bodyDiv w:val="1"/>
      <w:marLeft w:val="0"/>
      <w:marRight w:val="0"/>
      <w:marTop w:val="0"/>
      <w:marBottom w:val="0"/>
      <w:divBdr>
        <w:top w:val="none" w:sz="0" w:space="0" w:color="auto"/>
        <w:left w:val="none" w:sz="0" w:space="0" w:color="auto"/>
        <w:bottom w:val="none" w:sz="0" w:space="0" w:color="auto"/>
        <w:right w:val="none" w:sz="0" w:space="0" w:color="auto"/>
      </w:divBdr>
    </w:div>
    <w:div w:id="1966807459">
      <w:bodyDiv w:val="1"/>
      <w:marLeft w:val="0"/>
      <w:marRight w:val="0"/>
      <w:marTop w:val="0"/>
      <w:marBottom w:val="0"/>
      <w:divBdr>
        <w:top w:val="none" w:sz="0" w:space="0" w:color="auto"/>
        <w:left w:val="none" w:sz="0" w:space="0" w:color="auto"/>
        <w:bottom w:val="none" w:sz="0" w:space="0" w:color="auto"/>
        <w:right w:val="none" w:sz="0" w:space="0" w:color="auto"/>
      </w:divBdr>
    </w:div>
    <w:div w:id="1974674792">
      <w:bodyDiv w:val="1"/>
      <w:marLeft w:val="0"/>
      <w:marRight w:val="0"/>
      <w:marTop w:val="0"/>
      <w:marBottom w:val="0"/>
      <w:divBdr>
        <w:top w:val="none" w:sz="0" w:space="0" w:color="auto"/>
        <w:left w:val="none" w:sz="0" w:space="0" w:color="auto"/>
        <w:bottom w:val="none" w:sz="0" w:space="0" w:color="auto"/>
        <w:right w:val="none" w:sz="0" w:space="0" w:color="auto"/>
      </w:divBdr>
    </w:div>
    <w:div w:id="1990859701">
      <w:bodyDiv w:val="1"/>
      <w:marLeft w:val="0"/>
      <w:marRight w:val="0"/>
      <w:marTop w:val="0"/>
      <w:marBottom w:val="0"/>
      <w:divBdr>
        <w:top w:val="none" w:sz="0" w:space="0" w:color="auto"/>
        <w:left w:val="none" w:sz="0" w:space="0" w:color="auto"/>
        <w:bottom w:val="none" w:sz="0" w:space="0" w:color="auto"/>
        <w:right w:val="none" w:sz="0" w:space="0" w:color="auto"/>
      </w:divBdr>
    </w:div>
    <w:div w:id="2002732895">
      <w:bodyDiv w:val="1"/>
      <w:marLeft w:val="0"/>
      <w:marRight w:val="0"/>
      <w:marTop w:val="0"/>
      <w:marBottom w:val="0"/>
      <w:divBdr>
        <w:top w:val="none" w:sz="0" w:space="0" w:color="auto"/>
        <w:left w:val="none" w:sz="0" w:space="0" w:color="auto"/>
        <w:bottom w:val="none" w:sz="0" w:space="0" w:color="auto"/>
        <w:right w:val="none" w:sz="0" w:space="0" w:color="auto"/>
      </w:divBdr>
    </w:div>
    <w:div w:id="2008482331">
      <w:bodyDiv w:val="1"/>
      <w:marLeft w:val="0"/>
      <w:marRight w:val="0"/>
      <w:marTop w:val="0"/>
      <w:marBottom w:val="0"/>
      <w:divBdr>
        <w:top w:val="none" w:sz="0" w:space="0" w:color="auto"/>
        <w:left w:val="none" w:sz="0" w:space="0" w:color="auto"/>
        <w:bottom w:val="none" w:sz="0" w:space="0" w:color="auto"/>
        <w:right w:val="none" w:sz="0" w:space="0" w:color="auto"/>
      </w:divBdr>
      <w:divsChild>
        <w:div w:id="569465867">
          <w:marLeft w:val="0"/>
          <w:marRight w:val="0"/>
          <w:marTop w:val="0"/>
          <w:marBottom w:val="0"/>
          <w:divBdr>
            <w:top w:val="none" w:sz="0" w:space="0" w:color="auto"/>
            <w:left w:val="none" w:sz="0" w:space="0" w:color="auto"/>
            <w:bottom w:val="none" w:sz="0" w:space="0" w:color="auto"/>
            <w:right w:val="none" w:sz="0" w:space="0" w:color="auto"/>
          </w:divBdr>
          <w:divsChild>
            <w:div w:id="1998924086">
              <w:marLeft w:val="0"/>
              <w:marRight w:val="0"/>
              <w:marTop w:val="0"/>
              <w:marBottom w:val="0"/>
              <w:divBdr>
                <w:top w:val="none" w:sz="0" w:space="0" w:color="auto"/>
                <w:left w:val="none" w:sz="0" w:space="0" w:color="auto"/>
                <w:bottom w:val="none" w:sz="0" w:space="0" w:color="auto"/>
                <w:right w:val="none" w:sz="0" w:space="0" w:color="auto"/>
              </w:divBdr>
              <w:divsChild>
                <w:div w:id="1949584406">
                  <w:marLeft w:val="0"/>
                  <w:marRight w:val="0"/>
                  <w:marTop w:val="0"/>
                  <w:marBottom w:val="0"/>
                  <w:divBdr>
                    <w:top w:val="none" w:sz="0" w:space="0" w:color="auto"/>
                    <w:left w:val="none" w:sz="0" w:space="0" w:color="auto"/>
                    <w:bottom w:val="none" w:sz="0" w:space="0" w:color="auto"/>
                    <w:right w:val="none" w:sz="0" w:space="0" w:color="auto"/>
                  </w:divBdr>
                  <w:divsChild>
                    <w:div w:id="1088575994">
                      <w:marLeft w:val="0"/>
                      <w:marRight w:val="0"/>
                      <w:marTop w:val="0"/>
                      <w:marBottom w:val="0"/>
                      <w:divBdr>
                        <w:top w:val="none" w:sz="0" w:space="0" w:color="auto"/>
                        <w:left w:val="none" w:sz="0" w:space="0" w:color="auto"/>
                        <w:bottom w:val="none" w:sz="0" w:space="0" w:color="auto"/>
                        <w:right w:val="none" w:sz="0" w:space="0" w:color="auto"/>
                      </w:divBdr>
                      <w:divsChild>
                        <w:div w:id="1014191258">
                          <w:marLeft w:val="0"/>
                          <w:marRight w:val="0"/>
                          <w:marTop w:val="0"/>
                          <w:marBottom w:val="0"/>
                          <w:divBdr>
                            <w:top w:val="none" w:sz="0" w:space="0" w:color="auto"/>
                            <w:left w:val="none" w:sz="0" w:space="0" w:color="auto"/>
                            <w:bottom w:val="none" w:sz="0" w:space="0" w:color="auto"/>
                            <w:right w:val="none" w:sz="0" w:space="0" w:color="auto"/>
                          </w:divBdr>
                          <w:divsChild>
                            <w:div w:id="1418400504">
                              <w:marLeft w:val="-240"/>
                              <w:marRight w:val="-120"/>
                              <w:marTop w:val="0"/>
                              <w:marBottom w:val="0"/>
                              <w:divBdr>
                                <w:top w:val="none" w:sz="0" w:space="0" w:color="auto"/>
                                <w:left w:val="none" w:sz="0" w:space="0" w:color="auto"/>
                                <w:bottom w:val="none" w:sz="0" w:space="0" w:color="auto"/>
                                <w:right w:val="none" w:sz="0" w:space="0" w:color="auto"/>
                              </w:divBdr>
                              <w:divsChild>
                                <w:div w:id="624849256">
                                  <w:marLeft w:val="0"/>
                                  <w:marRight w:val="0"/>
                                  <w:marTop w:val="0"/>
                                  <w:marBottom w:val="60"/>
                                  <w:divBdr>
                                    <w:top w:val="none" w:sz="0" w:space="0" w:color="auto"/>
                                    <w:left w:val="none" w:sz="0" w:space="0" w:color="auto"/>
                                    <w:bottom w:val="none" w:sz="0" w:space="0" w:color="auto"/>
                                    <w:right w:val="none" w:sz="0" w:space="0" w:color="auto"/>
                                  </w:divBdr>
                                  <w:divsChild>
                                    <w:div w:id="1031995937">
                                      <w:marLeft w:val="0"/>
                                      <w:marRight w:val="0"/>
                                      <w:marTop w:val="0"/>
                                      <w:marBottom w:val="0"/>
                                      <w:divBdr>
                                        <w:top w:val="none" w:sz="0" w:space="0" w:color="auto"/>
                                        <w:left w:val="none" w:sz="0" w:space="0" w:color="auto"/>
                                        <w:bottom w:val="none" w:sz="0" w:space="0" w:color="auto"/>
                                        <w:right w:val="none" w:sz="0" w:space="0" w:color="auto"/>
                                      </w:divBdr>
                                      <w:divsChild>
                                        <w:div w:id="1270164708">
                                          <w:marLeft w:val="0"/>
                                          <w:marRight w:val="0"/>
                                          <w:marTop w:val="0"/>
                                          <w:marBottom w:val="0"/>
                                          <w:divBdr>
                                            <w:top w:val="none" w:sz="0" w:space="0" w:color="auto"/>
                                            <w:left w:val="none" w:sz="0" w:space="0" w:color="auto"/>
                                            <w:bottom w:val="none" w:sz="0" w:space="0" w:color="auto"/>
                                            <w:right w:val="none" w:sz="0" w:space="0" w:color="auto"/>
                                          </w:divBdr>
                                          <w:divsChild>
                                            <w:div w:id="1090394359">
                                              <w:marLeft w:val="0"/>
                                              <w:marRight w:val="0"/>
                                              <w:marTop w:val="0"/>
                                              <w:marBottom w:val="0"/>
                                              <w:divBdr>
                                                <w:top w:val="none" w:sz="0" w:space="0" w:color="auto"/>
                                                <w:left w:val="none" w:sz="0" w:space="0" w:color="auto"/>
                                                <w:bottom w:val="none" w:sz="0" w:space="0" w:color="auto"/>
                                                <w:right w:val="none" w:sz="0" w:space="0" w:color="auto"/>
                                              </w:divBdr>
                                              <w:divsChild>
                                                <w:div w:id="12505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6640318">
          <w:marLeft w:val="0"/>
          <w:marRight w:val="0"/>
          <w:marTop w:val="0"/>
          <w:marBottom w:val="0"/>
          <w:divBdr>
            <w:top w:val="none" w:sz="0" w:space="0" w:color="auto"/>
            <w:left w:val="none" w:sz="0" w:space="0" w:color="auto"/>
            <w:bottom w:val="none" w:sz="0" w:space="0" w:color="auto"/>
            <w:right w:val="none" w:sz="0" w:space="0" w:color="auto"/>
          </w:divBdr>
          <w:divsChild>
            <w:div w:id="1332489382">
              <w:marLeft w:val="0"/>
              <w:marRight w:val="0"/>
              <w:marTop w:val="0"/>
              <w:marBottom w:val="0"/>
              <w:divBdr>
                <w:top w:val="none" w:sz="0" w:space="0" w:color="auto"/>
                <w:left w:val="none" w:sz="0" w:space="0" w:color="auto"/>
                <w:bottom w:val="none" w:sz="0" w:space="0" w:color="auto"/>
                <w:right w:val="none" w:sz="0" w:space="0" w:color="auto"/>
              </w:divBdr>
              <w:divsChild>
                <w:div w:id="1226337626">
                  <w:marLeft w:val="0"/>
                  <w:marRight w:val="0"/>
                  <w:marTop w:val="0"/>
                  <w:marBottom w:val="0"/>
                  <w:divBdr>
                    <w:top w:val="none" w:sz="0" w:space="0" w:color="auto"/>
                    <w:left w:val="none" w:sz="0" w:space="0" w:color="auto"/>
                    <w:bottom w:val="none" w:sz="0" w:space="0" w:color="auto"/>
                    <w:right w:val="none" w:sz="0" w:space="0" w:color="auto"/>
                  </w:divBdr>
                  <w:divsChild>
                    <w:div w:id="854924415">
                      <w:marLeft w:val="0"/>
                      <w:marRight w:val="0"/>
                      <w:marTop w:val="0"/>
                      <w:marBottom w:val="0"/>
                      <w:divBdr>
                        <w:top w:val="none" w:sz="0" w:space="0" w:color="auto"/>
                        <w:left w:val="none" w:sz="0" w:space="0" w:color="auto"/>
                        <w:bottom w:val="none" w:sz="0" w:space="0" w:color="auto"/>
                        <w:right w:val="none" w:sz="0" w:space="0" w:color="auto"/>
                      </w:divBdr>
                      <w:divsChild>
                        <w:div w:id="873422279">
                          <w:marLeft w:val="0"/>
                          <w:marRight w:val="0"/>
                          <w:marTop w:val="0"/>
                          <w:marBottom w:val="0"/>
                          <w:divBdr>
                            <w:top w:val="none" w:sz="0" w:space="0" w:color="auto"/>
                            <w:left w:val="none" w:sz="0" w:space="0" w:color="auto"/>
                            <w:bottom w:val="none" w:sz="0" w:space="0" w:color="auto"/>
                            <w:right w:val="none" w:sz="0" w:space="0" w:color="auto"/>
                          </w:divBdr>
                          <w:divsChild>
                            <w:div w:id="10875764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551695">
      <w:bodyDiv w:val="1"/>
      <w:marLeft w:val="0"/>
      <w:marRight w:val="0"/>
      <w:marTop w:val="0"/>
      <w:marBottom w:val="0"/>
      <w:divBdr>
        <w:top w:val="none" w:sz="0" w:space="0" w:color="auto"/>
        <w:left w:val="none" w:sz="0" w:space="0" w:color="auto"/>
        <w:bottom w:val="none" w:sz="0" w:space="0" w:color="auto"/>
        <w:right w:val="none" w:sz="0" w:space="0" w:color="auto"/>
      </w:divBdr>
    </w:div>
    <w:div w:id="2042701078">
      <w:bodyDiv w:val="1"/>
      <w:marLeft w:val="0"/>
      <w:marRight w:val="0"/>
      <w:marTop w:val="0"/>
      <w:marBottom w:val="0"/>
      <w:divBdr>
        <w:top w:val="none" w:sz="0" w:space="0" w:color="auto"/>
        <w:left w:val="none" w:sz="0" w:space="0" w:color="auto"/>
        <w:bottom w:val="none" w:sz="0" w:space="0" w:color="auto"/>
        <w:right w:val="none" w:sz="0" w:space="0" w:color="auto"/>
      </w:divBdr>
    </w:div>
    <w:div w:id="2084834986">
      <w:bodyDiv w:val="1"/>
      <w:marLeft w:val="0"/>
      <w:marRight w:val="0"/>
      <w:marTop w:val="0"/>
      <w:marBottom w:val="0"/>
      <w:divBdr>
        <w:top w:val="none" w:sz="0" w:space="0" w:color="auto"/>
        <w:left w:val="none" w:sz="0" w:space="0" w:color="auto"/>
        <w:bottom w:val="none" w:sz="0" w:space="0" w:color="auto"/>
        <w:right w:val="none" w:sz="0" w:space="0" w:color="auto"/>
      </w:divBdr>
    </w:div>
    <w:div w:id="2102526242">
      <w:bodyDiv w:val="1"/>
      <w:marLeft w:val="0"/>
      <w:marRight w:val="0"/>
      <w:marTop w:val="0"/>
      <w:marBottom w:val="0"/>
      <w:divBdr>
        <w:top w:val="none" w:sz="0" w:space="0" w:color="auto"/>
        <w:left w:val="none" w:sz="0" w:space="0" w:color="auto"/>
        <w:bottom w:val="none" w:sz="0" w:space="0" w:color="auto"/>
        <w:right w:val="none" w:sz="0" w:space="0" w:color="auto"/>
      </w:divBdr>
    </w:div>
    <w:div w:id="2119370183">
      <w:bodyDiv w:val="1"/>
      <w:marLeft w:val="0"/>
      <w:marRight w:val="0"/>
      <w:marTop w:val="0"/>
      <w:marBottom w:val="0"/>
      <w:divBdr>
        <w:top w:val="none" w:sz="0" w:space="0" w:color="auto"/>
        <w:left w:val="none" w:sz="0" w:space="0" w:color="auto"/>
        <w:bottom w:val="none" w:sz="0" w:space="0" w:color="auto"/>
        <w:right w:val="none" w:sz="0" w:space="0" w:color="auto"/>
      </w:divBdr>
    </w:div>
    <w:div w:id="2123109070">
      <w:bodyDiv w:val="1"/>
      <w:marLeft w:val="0"/>
      <w:marRight w:val="0"/>
      <w:marTop w:val="0"/>
      <w:marBottom w:val="0"/>
      <w:divBdr>
        <w:top w:val="none" w:sz="0" w:space="0" w:color="auto"/>
        <w:left w:val="none" w:sz="0" w:space="0" w:color="auto"/>
        <w:bottom w:val="none" w:sz="0" w:space="0" w:color="auto"/>
        <w:right w:val="none" w:sz="0" w:space="0" w:color="auto"/>
      </w:divBdr>
    </w:div>
    <w:div w:id="2124574657">
      <w:bodyDiv w:val="1"/>
      <w:marLeft w:val="0"/>
      <w:marRight w:val="0"/>
      <w:marTop w:val="0"/>
      <w:marBottom w:val="0"/>
      <w:divBdr>
        <w:top w:val="none" w:sz="0" w:space="0" w:color="auto"/>
        <w:left w:val="none" w:sz="0" w:space="0" w:color="auto"/>
        <w:bottom w:val="none" w:sz="0" w:space="0" w:color="auto"/>
        <w:right w:val="none" w:sz="0" w:space="0" w:color="auto"/>
      </w:divBdr>
    </w:div>
    <w:div w:id="2130125251">
      <w:bodyDiv w:val="1"/>
      <w:marLeft w:val="0"/>
      <w:marRight w:val="0"/>
      <w:marTop w:val="0"/>
      <w:marBottom w:val="0"/>
      <w:divBdr>
        <w:top w:val="none" w:sz="0" w:space="0" w:color="auto"/>
        <w:left w:val="none" w:sz="0" w:space="0" w:color="auto"/>
        <w:bottom w:val="none" w:sz="0" w:space="0" w:color="auto"/>
        <w:right w:val="none" w:sz="0" w:space="0" w:color="auto"/>
      </w:divBdr>
    </w:div>
    <w:div w:id="213683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13" Target="footer2.xml" Type="http://schemas.openxmlformats.org/officeDocument/2006/relationships/footer" /><Relationship Id="rId12" Target="footer1.xml" Type="http://schemas.openxmlformats.org/officeDocument/2006/relationships/footer" /><Relationship Id="rId11" Target="header1.xml" Type="http://schemas.openxmlformats.org/officeDocument/2006/relationships/header" /><Relationship Type="http://schemas.openxmlformats.org/officeDocument/2006/relationships/image" Id="rId81" Target="media/rId81.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hyperlink" Id="rId79" Target="https://aws.amazon.com/blogs/apn/introducing-the-agentic-ai-technical-learning-plan-in-aws-skill-builder/" TargetMode="External" /><Relationship Type="http://schemas.openxmlformats.org/officeDocument/2006/relationships/hyperlink" Id="rId54" Target="https://aws.amazon.com/blogs/machine-learning/beyond-pilots-a-proven-framework-for-scaling-ai-to-production/" TargetMode="External" /><Relationship Type="http://schemas.openxmlformats.org/officeDocument/2006/relationships/hyperlink" Id="rId69" Target="https://aws.amazon.com/blogs/machine-learning/building-trust-in-ai-the-aws-approach-to-the-eu-ai-act/?trk=65d1f2ef-069f-4b14-8689-dcdb14440648" TargetMode="External" /><Relationship Type="http://schemas.openxmlformats.org/officeDocument/2006/relationships/hyperlink" Id="rId65" Target="https://aws.amazon.com/blogs/machine-learning/incorporating-responsible-ai-into-generative-ai-project-prioritization" TargetMode="External" /><Relationship Type="http://schemas.openxmlformats.org/officeDocument/2006/relationships/hyperlink" Id="rId68" Target="https://aws.amazon.com/blogs/publicsector/how-aws-skill-builder-is-powering-digital-skills-growth-across-european-institutions/" TargetMode="External" /><Relationship Type="http://schemas.openxmlformats.org/officeDocument/2006/relationships/hyperlink" Id="rId58" Target="https://aws.amazon.com/blogs/training-and-certification/aws-training-and-certification-provide-positive-roi-to-learners/" TargetMode="External" /><Relationship Type="http://schemas.openxmlformats.org/officeDocument/2006/relationships/hyperlink" Id="rId80" Target="https://aws.amazon.com/blogs/training-and-certification/mapping-your-ai-ml-career-journey/" TargetMode="External" /><Relationship Type="http://schemas.openxmlformats.org/officeDocument/2006/relationships/hyperlink" Id="rId57" Target="https://aws.amazon.com/blogs/training-and-certification/steps-to-implement-cloud-skilling-programs-to-jump-start-digital-transformation" TargetMode="External" /><Relationship Type="http://schemas.openxmlformats.org/officeDocument/2006/relationships/hyperlink" Id="rId63" Target="https://aws.amazon.com/cn/blogs/training-and-certification/big-news-aws-expands-ai-certification-portfolio-and-updates-security-certification/" TargetMode="External" /><Relationship Type="http://schemas.openxmlformats.org/officeDocument/2006/relationships/hyperlink" Id="rId67" Target="https://aws.amazon.com/es/blogs/machine-learning/governance-by-design-the-essential-guide-for-successful-ai-scaling/" TargetMode="External" /><Relationship Type="http://schemas.openxmlformats.org/officeDocument/2006/relationships/hyperlink" Id="rId75" Target="https://aws.amazon.com/it/training/digital-training-providers/" TargetMode="External" /><Relationship Type="http://schemas.openxmlformats.org/officeDocument/2006/relationships/hyperlink" Id="rId74" Target="https://aws.amazon.com/prescriptive-guidance/accelerating-cloud-transformation/" TargetMode="External" /><Relationship Type="http://schemas.openxmlformats.org/officeDocument/2006/relationships/hyperlink" Id="rId55" Target="https://aws.amazon.com/solutions/case-studies/globe-cloud-training-infographic/" TargetMode="External" /><Relationship Type="http://schemas.openxmlformats.org/officeDocument/2006/relationships/hyperlink" Id="rId51" Target="https://aws.amazon.com/solutions/case-studies/holcim-case-study/" TargetMode="External" /><Relationship Type="http://schemas.openxmlformats.org/officeDocument/2006/relationships/hyperlink" Id="rId56" Target="https://aws.amazon.com/solutions/case-studies/pearson-case-study/" TargetMode="External" /><Relationship Type="http://schemas.openxmlformats.org/officeDocument/2006/relationships/hyperlink" Id="rId53" Target="https://aws.amazon.com/training/digital/pricing/" TargetMode="External" /><Relationship Type="http://schemas.openxmlformats.org/officeDocument/2006/relationships/hyperlink" Id="rId52" Target="https://aws.amazon.com/training/digital/team-subscription" TargetMode="External" /><Relationship Type="http://schemas.openxmlformats.org/officeDocument/2006/relationships/hyperlink" Id="rId49" Target="https://aws.amazon.com/training/teams" TargetMode="External" /><Relationship Type="http://schemas.openxmlformats.org/officeDocument/2006/relationships/hyperlink" Id="rId77" Target="https://aws.amazon.com/training/teams/enterprise-skills-transformation/skills-guild/" TargetMode="External" /><Relationship Type="http://schemas.openxmlformats.org/officeDocument/2006/relationships/hyperlink" Id="rId26" Target="https://blog.superhuman.com/ai-deployment/" TargetMode="External" /><Relationship Type="http://schemas.openxmlformats.org/officeDocument/2006/relationships/hyperlink" Id="rId50" Target="https://d1.awsstatic.com/training-and-certification/Enterprise/aws-skills-guild-overview-brochure.pdf" TargetMode="External" /><Relationship Type="http://schemas.openxmlformats.org/officeDocument/2006/relationships/hyperlink" Id="rId61" Target="https://docs.aws.amazon.com/aws-certification/latest/ai-practitioner-01/ai-practitioner-01.html" TargetMode="External" /><Relationship Type="http://schemas.openxmlformats.org/officeDocument/2006/relationships/hyperlink" Id="rId62" Target="https://docs.aws.amazon.com/aws-certification/latest/machine-learning-engineer-associate-01/machine-learning-engineer-associate-01.html" TargetMode="External" /><Relationship Type="http://schemas.openxmlformats.org/officeDocument/2006/relationships/hyperlink" Id="rId71" Target="https://grantthornton.com/insights/articles/advisory/2026/workforce-gaps-short-circuit-ai-at-emerging-enterprises" TargetMode="External" /><Relationship Type="http://schemas.openxmlformats.org/officeDocument/2006/relationships/hyperlink" Id="rId24" Target="https://hbr.org/2025/08/beware-the-ai-experimentation-trap" TargetMode="External" /><Relationship Type="http://schemas.openxmlformats.org/officeDocument/2006/relationships/hyperlink" Id="rId60" Target="https://joshbersin.com/2026/02/the-enterprise-learning-tech-market-quickly-transforms-around-ai/" TargetMode="External" /><Relationship Type="http://schemas.openxmlformats.org/officeDocument/2006/relationships/hyperlink" Id="rId78" Target="https://www.aboutamazon.com/news/aws/aws-ai-certification-learning-tools-skills-development" TargetMode="External" /><Relationship Type="http://schemas.openxmlformats.org/officeDocument/2006/relationships/hyperlink" Id="rId66" Target="https://www.amazon.science/blog/building-trust-into-ai" TargetMode="External" /><Relationship Type="http://schemas.openxmlformats.org/officeDocument/2006/relationships/hyperlink" Id="rId25" Target="https://www.bcg.com/publications/2026/ai-transformation-is-a-workforce-transformation" TargetMode="External" /><Relationship Type="http://schemas.openxmlformats.org/officeDocument/2006/relationships/hyperlink" Id="rId36" Target="https://www.bcg.com/publications/2026/how-ai-leaders-create-competitive-advantage" TargetMode="External" /><Relationship Type="http://schemas.openxmlformats.org/officeDocument/2006/relationships/hyperlink" Id="rId33" Target="https://www.bu.edu/online/2026/06/27/ai_skills_gap_2026/" TargetMode="External" /><Relationship Type="http://schemas.openxmlformats.org/officeDocument/2006/relationships/hyperlink" Id="rId46" Target="https://www.datacamp.com/blog/best-platforms-to-train-teams-on-responsible-ai" TargetMode="External" /><Relationship Type="http://schemas.openxmlformats.org/officeDocument/2006/relationships/hyperlink" Id="rId27" Target="https://www.datacamp.com/blog/why-traditional-ai-training-isn-t-working-in-2026" TargetMode="External" /><Relationship Type="http://schemas.openxmlformats.org/officeDocument/2006/relationships/hyperlink" Id="rId45" Target="https://www.forbes.com/councils/forbestechcouncil/2026/07/24/adaptive-learning-at-scale-turning-ai-upskilling-into-measurable-roi/" TargetMode="External" /><Relationship Type="http://schemas.openxmlformats.org/officeDocument/2006/relationships/hyperlink" Id="rId23" Target="https://www.mckinsey.com/capabilities/operations/our-insights/a-us-productivity-unlock-investing-in-frontline-workers-ai-skills" TargetMode="External" /><Relationship Type="http://schemas.openxmlformats.org/officeDocument/2006/relationships/hyperlink" Id="rId48" Target="https://www.mckinsey.com/capabilities/people-and-organizational-performance/our-insights/from-adoption-to-impact-three-horizons-of-ai-transformation" TargetMode="External" /><Relationship Type="http://schemas.openxmlformats.org/officeDocument/2006/relationships/hyperlink" Id="rId72" Target="https://www.mckinsey.com/capabilities/people-and-organizational-performance/our-insights/the-organization-blog/redefine-ai-upskilling-as-a-change-imperative" TargetMode="External" /><Relationship Type="http://schemas.openxmlformats.org/officeDocument/2006/relationships/hyperlink" Id="rId37" Target="https://www.mckinsey.com/capabilities/tech-and-ai/our-insights/superagency-in-the-workplace-empowering-people-to-unlock-ais-full-potential-at-work" TargetMode="External" /><Relationship Type="http://schemas.openxmlformats.org/officeDocument/2006/relationships/hyperlink" Id="rId34" Target="https://www.mckinsey.com/featured-insights/people-in-progress/the-ai-upskilling-challenge" TargetMode="External" /><Relationship Type="http://schemas.openxmlformats.org/officeDocument/2006/relationships/hyperlink" Id="rId73" Target="https://www.mckinsey.com/uk/our-insights/uk-blog/the-new-productivity-paradox" TargetMode="External" /><Relationship Type="http://schemas.openxmlformats.org/officeDocument/2006/relationships/hyperlink" Id="rId28" Target="https://www.solytics-partners.com/resources/blogs/enterprise-ai-governance" TargetMode="External" /><Relationship Type="http://schemas.openxmlformats.org/officeDocument/2006/relationships/hyperlink" Id="rId30" Target="https://www.teksystems.com/en/insights/infographic/ai-adoption-enterprise-2026" TargetMode="External" /><Relationship Type="http://schemas.openxmlformats.org/officeDocument/2006/relationships/hyperlink" Id="rId32" Target="https://www.weforum.org/stories/2026/01/ai-has-already-added-1-3-million-new-jobs-according-to-linkedin-data/?ref=aicl.ghost.io" TargetMode="External" /><Relationship Type="http://schemas.openxmlformats.org/officeDocument/2006/relationships/hyperlink" Id="rId31" Target="https://www.weforum.org/stories/jobs-and-the-future-of-work/ai-s-new-dual-workforce-challenge-balancing-overcapacity-and-talent-shortages/" TargetMode="External" /><Relationship Type="http://schemas.openxmlformats.org/officeDocument/2006/relationships/hyperlink" Id="rId22" Target="s3://research-documents-prod-iad/arn:aws:ds:us-east-1:764946308314:user/d-9067271e9d/S-1-5-21-1407069837-2091007605-538272213-42470754:::d2e2ade3-8517-456f-bc68-83e4d96f55d5/e3ab93f6-3c47-4640-8bf7-634c18d91c74/AI_Skills_Transformation_Full_Research_Record.docx"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Relationship Type="http://schemas.openxmlformats.org/officeDocument/2006/relationships/hyperlink" Id="rId79" Target="https://aws.amazon.com/blogs/apn/introducing-the-agentic-ai-technical-learning-plan-in-aws-skill-builder/" TargetMode="External" /><Relationship Type="http://schemas.openxmlformats.org/officeDocument/2006/relationships/hyperlink" Id="rId54" Target="https://aws.amazon.com/blogs/machine-learning/beyond-pilots-a-proven-framework-for-scaling-ai-to-production/" TargetMode="External" /><Relationship Type="http://schemas.openxmlformats.org/officeDocument/2006/relationships/hyperlink" Id="rId69" Target="https://aws.amazon.com/blogs/machine-learning/building-trust-in-ai-the-aws-approach-to-the-eu-ai-act/?trk=65d1f2ef-069f-4b14-8689-dcdb14440648" TargetMode="External" /><Relationship Type="http://schemas.openxmlformats.org/officeDocument/2006/relationships/hyperlink" Id="rId65" Target="https://aws.amazon.com/blogs/machine-learning/incorporating-responsible-ai-into-generative-ai-project-prioritization" TargetMode="External" /><Relationship Type="http://schemas.openxmlformats.org/officeDocument/2006/relationships/hyperlink" Id="rId68" Target="https://aws.amazon.com/blogs/publicsector/how-aws-skill-builder-is-powering-digital-skills-growth-across-european-institutions/" TargetMode="External" /><Relationship Type="http://schemas.openxmlformats.org/officeDocument/2006/relationships/hyperlink" Id="rId58" Target="https://aws.amazon.com/blogs/training-and-certification/aws-training-and-certification-provide-positive-roi-to-learners/" TargetMode="External" /><Relationship Type="http://schemas.openxmlformats.org/officeDocument/2006/relationships/hyperlink" Id="rId80" Target="https://aws.amazon.com/blogs/training-and-certification/mapping-your-ai-ml-career-journey/" TargetMode="External" /><Relationship Type="http://schemas.openxmlformats.org/officeDocument/2006/relationships/hyperlink" Id="rId57" Target="https://aws.amazon.com/blogs/training-and-certification/steps-to-implement-cloud-skilling-programs-to-jump-start-digital-transformation" TargetMode="External" /><Relationship Type="http://schemas.openxmlformats.org/officeDocument/2006/relationships/hyperlink" Id="rId63" Target="https://aws.amazon.com/cn/blogs/training-and-certification/big-news-aws-expands-ai-certification-portfolio-and-updates-security-certification/" TargetMode="External" /><Relationship Type="http://schemas.openxmlformats.org/officeDocument/2006/relationships/hyperlink" Id="rId67" Target="https://aws.amazon.com/es/blogs/machine-learning/governance-by-design-the-essential-guide-for-successful-ai-scaling/" TargetMode="External" /><Relationship Type="http://schemas.openxmlformats.org/officeDocument/2006/relationships/hyperlink" Id="rId75" Target="https://aws.amazon.com/it/training/digital-training-providers/" TargetMode="External" /><Relationship Type="http://schemas.openxmlformats.org/officeDocument/2006/relationships/hyperlink" Id="rId74" Target="https://aws.amazon.com/prescriptive-guidance/accelerating-cloud-transformation/" TargetMode="External" /><Relationship Type="http://schemas.openxmlformats.org/officeDocument/2006/relationships/hyperlink" Id="rId55" Target="https://aws.amazon.com/solutions/case-studies/globe-cloud-training-infographic/" TargetMode="External" /><Relationship Type="http://schemas.openxmlformats.org/officeDocument/2006/relationships/hyperlink" Id="rId51" Target="https://aws.amazon.com/solutions/case-studies/holcim-case-study/" TargetMode="External" /><Relationship Type="http://schemas.openxmlformats.org/officeDocument/2006/relationships/hyperlink" Id="rId56" Target="https://aws.amazon.com/solutions/case-studies/pearson-case-study/" TargetMode="External" /><Relationship Type="http://schemas.openxmlformats.org/officeDocument/2006/relationships/hyperlink" Id="rId53" Target="https://aws.amazon.com/training/digital/pricing/" TargetMode="External" /><Relationship Type="http://schemas.openxmlformats.org/officeDocument/2006/relationships/hyperlink" Id="rId52" Target="https://aws.amazon.com/training/digital/team-subscription" TargetMode="External" /><Relationship Type="http://schemas.openxmlformats.org/officeDocument/2006/relationships/hyperlink" Id="rId49" Target="https://aws.amazon.com/training/teams" TargetMode="External" /><Relationship Type="http://schemas.openxmlformats.org/officeDocument/2006/relationships/hyperlink" Id="rId77" Target="https://aws.amazon.com/training/teams/enterprise-skills-transformation/skills-guild/" TargetMode="External" /><Relationship Type="http://schemas.openxmlformats.org/officeDocument/2006/relationships/hyperlink" Id="rId26" Target="https://blog.superhuman.com/ai-deployment/" TargetMode="External" /><Relationship Type="http://schemas.openxmlformats.org/officeDocument/2006/relationships/hyperlink" Id="rId50" Target="https://d1.awsstatic.com/training-and-certification/Enterprise/aws-skills-guild-overview-brochure.pdf" TargetMode="External" /><Relationship Type="http://schemas.openxmlformats.org/officeDocument/2006/relationships/hyperlink" Id="rId61" Target="https://docs.aws.amazon.com/aws-certification/latest/ai-practitioner-01/ai-practitioner-01.html" TargetMode="External" /><Relationship Type="http://schemas.openxmlformats.org/officeDocument/2006/relationships/hyperlink" Id="rId62" Target="https://docs.aws.amazon.com/aws-certification/latest/machine-learning-engineer-associate-01/machine-learning-engineer-associate-01.html" TargetMode="External" /><Relationship Type="http://schemas.openxmlformats.org/officeDocument/2006/relationships/hyperlink" Id="rId71" Target="https://grantthornton.com/insights/articles/advisory/2026/workforce-gaps-short-circuit-ai-at-emerging-enterprises" TargetMode="External" /><Relationship Type="http://schemas.openxmlformats.org/officeDocument/2006/relationships/hyperlink" Id="rId24" Target="https://hbr.org/2025/08/beware-the-ai-experimentation-trap" TargetMode="External" /><Relationship Type="http://schemas.openxmlformats.org/officeDocument/2006/relationships/hyperlink" Id="rId60" Target="https://joshbersin.com/2026/02/the-enterprise-learning-tech-market-quickly-transforms-around-ai/" TargetMode="External" /><Relationship Type="http://schemas.openxmlformats.org/officeDocument/2006/relationships/hyperlink" Id="rId78" Target="https://www.aboutamazon.com/news/aws/aws-ai-certification-learning-tools-skills-development" TargetMode="External" /><Relationship Type="http://schemas.openxmlformats.org/officeDocument/2006/relationships/hyperlink" Id="rId66" Target="https://www.amazon.science/blog/building-trust-into-ai" TargetMode="External" /><Relationship Type="http://schemas.openxmlformats.org/officeDocument/2006/relationships/hyperlink" Id="rId25" Target="https://www.bcg.com/publications/2026/ai-transformation-is-a-workforce-transformation" TargetMode="External" /><Relationship Type="http://schemas.openxmlformats.org/officeDocument/2006/relationships/hyperlink" Id="rId36" Target="https://www.bcg.com/publications/2026/how-ai-leaders-create-competitive-advantage" TargetMode="External" /><Relationship Type="http://schemas.openxmlformats.org/officeDocument/2006/relationships/hyperlink" Id="rId33" Target="https://www.bu.edu/online/2026/06/27/ai_skills_gap_2026/" TargetMode="External" /><Relationship Type="http://schemas.openxmlformats.org/officeDocument/2006/relationships/hyperlink" Id="rId46" Target="https://www.datacamp.com/blog/best-platforms-to-train-teams-on-responsible-ai" TargetMode="External" /><Relationship Type="http://schemas.openxmlformats.org/officeDocument/2006/relationships/hyperlink" Id="rId27" Target="https://www.datacamp.com/blog/why-traditional-ai-training-isn-t-working-in-2026" TargetMode="External" /><Relationship Type="http://schemas.openxmlformats.org/officeDocument/2006/relationships/hyperlink" Id="rId45" Target="https://www.forbes.com/councils/forbestechcouncil/2026/07/24/adaptive-learning-at-scale-turning-ai-upskilling-into-measurable-roi/" TargetMode="External" /><Relationship Type="http://schemas.openxmlformats.org/officeDocument/2006/relationships/hyperlink" Id="rId23" Target="https://www.mckinsey.com/capabilities/operations/our-insights/a-us-productivity-unlock-investing-in-frontline-workers-ai-skills" TargetMode="External" /><Relationship Type="http://schemas.openxmlformats.org/officeDocument/2006/relationships/hyperlink" Id="rId48" Target="https://www.mckinsey.com/capabilities/people-and-organizational-performance/our-insights/from-adoption-to-impact-three-horizons-of-ai-transformation" TargetMode="External" /><Relationship Type="http://schemas.openxmlformats.org/officeDocument/2006/relationships/hyperlink" Id="rId72" Target="https://www.mckinsey.com/capabilities/people-and-organizational-performance/our-insights/the-organization-blog/redefine-ai-upskilling-as-a-change-imperative" TargetMode="External" /><Relationship Type="http://schemas.openxmlformats.org/officeDocument/2006/relationships/hyperlink" Id="rId37" Target="https://www.mckinsey.com/capabilities/tech-and-ai/our-insights/superagency-in-the-workplace-empowering-people-to-unlock-ais-full-potential-at-work" TargetMode="External" /><Relationship Type="http://schemas.openxmlformats.org/officeDocument/2006/relationships/hyperlink" Id="rId34" Target="https://www.mckinsey.com/featured-insights/people-in-progress/the-ai-upskilling-challenge" TargetMode="External" /><Relationship Type="http://schemas.openxmlformats.org/officeDocument/2006/relationships/hyperlink" Id="rId73" Target="https://www.mckinsey.com/uk/our-insights/uk-blog/the-new-productivity-paradox" TargetMode="External" /><Relationship Type="http://schemas.openxmlformats.org/officeDocument/2006/relationships/hyperlink" Id="rId28" Target="https://www.solytics-partners.com/resources/blogs/enterprise-ai-governance" TargetMode="External" /><Relationship Type="http://schemas.openxmlformats.org/officeDocument/2006/relationships/hyperlink" Id="rId30" Target="https://www.teksystems.com/en/insights/infographic/ai-adoption-enterprise-2026" TargetMode="External" /><Relationship Type="http://schemas.openxmlformats.org/officeDocument/2006/relationships/hyperlink" Id="rId32" Target="https://www.weforum.org/stories/2026/01/ai-has-already-added-1-3-million-new-jobs-according-to-linkedin-data/?ref=aicl.ghost.io" TargetMode="External" /><Relationship Type="http://schemas.openxmlformats.org/officeDocument/2006/relationships/hyperlink" Id="rId31" Target="https://www.weforum.org/stories/jobs-and-the-future-of-work/ai-s-new-dual-workforce-challenge-balancing-overcapacity-and-talent-shortages/" TargetMode="External" /><Relationship Type="http://schemas.openxmlformats.org/officeDocument/2006/relationships/hyperlink" Id="rId22" Target="s3://research-documents-prod-iad/arn:aws:ds:us-east-1:764946308314:user/d-9067271e9d/S-1-5-21-1407069837-2091007605-538272213-42470754:::d2e2ade3-8517-456f-bc68-83e4d96f55d5/e3ab93f6-3c47-4640-8bf7-634c18d91c74/AI_Skills_Transformation_Full_Research_Record.docx" TargetMode="External"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21</Words>
  <Characters>122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2026-08-21T18:13:28Z</dcterms:created>
  <dcterms:modified xsi:type="dcterms:W3CDTF">2026-08-21T18:13:28Z</dcterms:modified>
</cp:coreProperties>
</file>

<file path=docProps/custom.xml><?xml version="1.0" encoding="utf-8"?>
<Properties xmlns="http://schemas.openxmlformats.org/officeDocument/2006/custom-properties" xmlns:vt="http://schemas.openxmlformats.org/officeDocument/2006/docPropsVTypes"/>
</file>