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Skills Transformation — Full Research Record</w:t>
      </w:r>
    </w:p>
    <w:p>
      <w:r>
        <w:t>Expanded research record, all substantive data, findings, recommendations, examples, measurement designs, and consolidated executive-assistant prompt. Research citations use the source identifiers from the discussion.</w:t>
      </w:r>
    </w:p>
    <w:p>
      <w:pPr>
        <w:pStyle w:val="Heading1"/>
      </w:pPr>
      <w:r>
        <w:t>Full findings and data</w:t>
      </w:r>
    </w:p>
    <w:p>
      <w:r>
        <w:t>AI skills transformation is a business-led change program rather than a standalone training program. Organizations should focus on a few high-value workflows, redesign roles around human–AI collaboration, build capability through real work, and link learning to operating outcomes, manager behavior, internal mobility, and responsible-AI guardrails. [web:17][web:5] BCG estimates only about 5% of organizations have achieved substantial financial gains from AI, and attributes roughly 70% of AI value to the people/workforce component rather than algorithms or implementation technology. [web:17]</w:t>
      </w:r>
    </w:p>
    <w:tbl>
      <w:tblPr>
        <w:tblStyle w:val="LightShading-Accent1"/>
        <w:tblW w:type="auto" w:w="0"/>
        <w:tblLook w:firstColumn="1" w:firstRow="1" w:lastColumn="0" w:lastRow="0" w:noHBand="0" w:noVBand="1" w:val="04A0"/>
      </w:tblPr>
      <w:tblGrid>
        <w:gridCol w:w="5112"/>
        <w:gridCol w:w="5112"/>
      </w:tblGrid>
      <w:tr>
        <w:tc>
          <w:tcPr>
            <w:tcW w:type="dxa" w:w="5112"/>
          </w:tcPr>
          <w:p>
            <w:r>
              <w:t>Trend</w:t>
            </w:r>
          </w:p>
        </w:tc>
        <w:tc>
          <w:tcPr>
            <w:tcW w:type="dxa" w:w="5112"/>
          </w:tcPr>
          <w:p>
            <w:r>
              <w:t>Research-backed implication</w:t>
            </w:r>
          </w:p>
        </w:tc>
      </w:tr>
      <w:tr>
        <w:tc>
          <w:tcPr>
            <w:tcW w:type="dxa" w:w="5112"/>
          </w:tcPr>
          <w:p>
            <w:r>
              <w:t>Workflow redesign</w:t>
            </w:r>
          </w:p>
        </w:tc>
        <w:tc>
          <w:tcPr>
            <w:tcW w:type="dxa" w:w="5112"/>
          </w:tcPr>
          <w:p>
            <w:r>
              <w:t>Decide what people and AI do together in end-to-end workflows rather than merely automating isolated tasks. [web:30][web:5]</w:t>
            </w:r>
          </w:p>
        </w:tc>
      </w:tr>
      <w:tr>
        <w:tc>
          <w:tcPr>
            <w:tcW w:type="dxa" w:w="5112"/>
          </w:tcPr>
          <w:p>
            <w:r>
              <w:t>Role capability</w:t>
            </w:r>
          </w:p>
        </w:tc>
        <w:tc>
          <w:tcPr>
            <w:tcW w:type="dxa" w:w="5112"/>
          </w:tcPr>
          <w:p>
            <w:r>
              <w:t>Fluency matters, but role-specific framing, safe use, output judgment, and workflow improvement create value. [web:17]</w:t>
            </w:r>
          </w:p>
        </w:tc>
      </w:tr>
      <w:tr>
        <w:tc>
          <w:tcPr>
            <w:tcW w:type="dxa" w:w="5112"/>
          </w:tcPr>
          <w:p>
            <w:r>
              <w:t>Learning in work</w:t>
            </w:r>
          </w:p>
        </w:tc>
        <w:tc>
          <w:tcPr>
            <w:tcW w:type="dxa" w:w="5112"/>
          </w:tcPr>
          <w:p>
            <w:r>
              <w:t>Courses alone rarely change daily behavior; use real tasks, feedback, coaching, office hours, peer communities, and templates. [web:17][web:23]</w:t>
            </w:r>
          </w:p>
        </w:tc>
      </w:tr>
      <w:tr>
        <w:tc>
          <w:tcPr>
            <w:tcW w:type="dxa" w:w="5112"/>
          </w:tcPr>
          <w:p>
            <w:r>
              <w:t>Managers</w:t>
            </w:r>
          </w:p>
        </w:tc>
        <w:tc>
          <w:tcPr>
            <w:tcW w:type="dxa" w:w="5112"/>
          </w:tcPr>
          <w:p>
            <w:r>
              <w:t>Managers translate intent into norms and practice; 88% role-modeled AI in mature organizations versus 25% at laggards. [web:17]</w:t>
            </w:r>
          </w:p>
        </w:tc>
      </w:tr>
      <w:tr>
        <w:tc>
          <w:tcPr>
            <w:tcW w:type="dxa" w:w="5112"/>
          </w:tcPr>
          <w:p>
            <w:r>
              <w:t>Agents</w:t>
            </w:r>
          </w:p>
        </w:tc>
        <w:tc>
          <w:tcPr>
            <w:tcW w:type="dxa" w:w="5112"/>
          </w:tcPr>
          <w:p>
            <w:r>
              <w:t>Teach delegation, supervision, evaluation, task decomposition, QA, boundaries, and escalation; over 80% of leaders expected agent integration within 12–18 months. [web:16]</w:t>
            </w:r>
          </w:p>
        </w:tc>
      </w:tr>
      <w:tr>
        <w:tc>
          <w:tcPr>
            <w:tcW w:type="dxa" w:w="5112"/>
          </w:tcPr>
          <w:p>
            <w:r>
              <w:t>Governance</w:t>
            </w:r>
          </w:p>
        </w:tc>
        <w:tc>
          <w:tcPr>
            <w:tcW w:type="dxa" w:w="5112"/>
          </w:tcPr>
          <w:p>
            <w:r>
              <w:t>Privacy, security, bias, oversight, transparency, and inclusion must be embedded rather than added as separate compliance. [web:17][web:5]</w:t>
            </w:r>
          </w:p>
        </w:tc>
      </w:tr>
    </w:tbl>
    <w:p>
      <w:pPr>
        <w:pStyle w:val="Heading1"/>
      </w:pPr>
      <w:r>
        <w:t>BCG: leaders and adoption speed</w:t>
      </w:r>
    </w:p>
    <w:p>
      <w:r>
        <w:t>BCG’s outside-in analysis of more than 600 U.S. public companies with market caps above $5 billion identified 6% as AI-adoption leaders. It scores three equally weighted pillars: technology, talent, and deployment. Leadership requires all three—not tool purchases or pilots alone. [web:31]</w:t>
      </w:r>
    </w:p>
    <w:p>
      <w:pPr>
        <w:pStyle w:val="ListBullet"/>
      </w:pPr>
      <w:r>
        <w:t>The transition is: expand the toolkit; deploy broadly and deeply; then cross the talent gap. The share of organizations broad (AI documented in 8+ functions) and deep (at scale) rose from about 12% to more than 50%. [web:31]</w:t>
      </w:r>
    </w:p>
    <w:p>
      <w:pPr>
        <w:pStyle w:val="ListBullet"/>
      </w:pPr>
      <w:r>
        <w:t>The decisive shift from active adopter to leader is talent: technology/deployment scores change little while talent score nearly triples. At leaders, 13% of workers have AI-related skills versus 1% at laggards; AI-specific roles are 3.5% of workforce versus 0.1%. [web:31]</w:t>
      </w:r>
    </w:p>
    <w:p>
      <w:pPr>
        <w:pStyle w:val="ListBullet"/>
      </w:pPr>
      <w:r>
        <w:t>BCG’s effort model is 10% technology, 20% algorithms/data, and 70% people, process, and organizational change. [web:31]</w:t>
      </w:r>
    </w:p>
    <w:p>
      <w:pPr>
        <w:pStyle w:val="ListBullet"/>
      </w:pPr>
      <w:r>
        <w:t>More than 85% of employees remain at task assistance/delegation (stages 2–3); fewer than 10% have semiautonomous collaboration or beyond (stage 4+). [web:33]</w:t>
      </w:r>
    </w:p>
    <w:p>
      <w:pPr>
        <w:pStyle w:val="ListBullet"/>
      </w:pPr>
      <w:r>
        <w:t>Leaders’ industry-adjusted TSR was 9.3 percentage points above median over three years; active firms +0.6 points and laggards –1.7. Leaders’ revenue growth was 10 points higher, margin expansion 6 points higher, revenue per employee 4 points faster, and headcount CAGR 3 points higher. [web:31]</w:t>
      </w:r>
    </w:p>
    <w:p>
      <w:pPr>
        <w:pStyle w:val="ListBullet"/>
      </w:pPr>
      <w:r>
        <w:t>59% of leaders primarily use AI to scale employee output, 21% to create new products/services/business models, and 10% primarily for efficiency. [web:31]</w:t>
      </w:r>
    </w:p>
    <w:p>
      <w:pPr>
        <w:pStyle w:val="ListBullet"/>
      </w:pPr>
      <w:r>
        <w:t>42% of regular frontline AI users reported saving the equivalent of one workday weekly, but 66% had limited or no guidance on reinvesting that time. [web:20]</w:t>
      </w:r>
    </w:p>
    <w:p>
      <w:pPr>
        <w:pStyle w:val="Heading1"/>
      </w:pPr>
      <w:r>
        <w:t>Operating model and learning design</w:t>
      </w:r>
    </w:p>
    <w:p>
      <w:r>
        <w:t>Start with three to four business missions with measurable 90–180-day proof points. For each, assign executive business ownership plus technology, L&amp;D/HR, data/security, risk/legal, and communications partners. Define baseline/target outcomes; workflows and roles; AI-assisted/automated/prohibited tasks; human decision ownership; escalation; required skills; and evidence of safe adoption. [web:17][web:5]</w:t>
      </w:r>
    </w:p>
    <w:p>
      <w:r>
        <w:t>Diagnose work at task level. Determine what AI can draft, summarize, extract, classify, or recommend; what remains human-led because it requires judgment, accountability, relationships, or contextual trade-offs; and controls including review thresholds, auditability, and escalation. Customer-service managers need AI output evaluation, exception handling, coaching, data interpretation and customer-risk judgment. Marketing managers need brief design, quality evaluation, experimentation and IP/compliance awareness. Operations analysts need workflow design, data literacy, QA and root-cause analysis. [web:5]</w:t>
      </w:r>
    </w:p>
    <w:p>
      <w:pPr>
        <w:pStyle w:val="ListBullet"/>
      </w:pPr>
      <w:r>
        <w:t>Executive pathway: strategy, portfolio/value prioritization, governance, operating-model and workforce decisions.</w:t>
      </w:r>
    </w:p>
    <w:p>
      <w:pPr>
        <w:pStyle w:val="ListBullet"/>
      </w:pPr>
      <w:r>
        <w:t>Manager pathway: workflow redesign, coaching, role modeling, team adoption, workload/performance and change conversations.</w:t>
      </w:r>
    </w:p>
    <w:p>
      <w:pPr>
        <w:pStyle w:val="ListBullet"/>
      </w:pPr>
      <w:r>
        <w:t>Enterprise foundation: concepts, approved tools, safe use, critical evaluation, privacy/security, bias awareness, human judgment and escalation.</w:t>
      </w:r>
    </w:p>
    <w:p>
      <w:pPr>
        <w:pStyle w:val="ListBullet"/>
      </w:pPr>
      <w:r>
        <w:t>Role pathway: applied practice in actual workflows using approved systems, job aids, rubrics and coaching.</w:t>
      </w:r>
    </w:p>
    <w:p>
      <w:pPr>
        <w:pStyle w:val="ListBullet"/>
      </w:pPr>
      <w:r>
        <w:t>Advanced pathway: product, engineering, data, security, risk, legal and assurance capability.</w:t>
      </w:r>
    </w:p>
    <w:p>
      <w:pPr>
        <w:pStyle w:val="ListBullet"/>
      </w:pPr>
      <w:r>
        <w:t>Reinforcement: champions, peer demonstrations, office hours, reusable prompt/playbook libraries, recognition, SOPs, and performance expectations.</w:t>
      </w:r>
    </w:p>
    <w:p>
      <w:r>
        <w:t>Use Foundational → Applied → Embedded learning. Mature organizations are four times more likely to provide structured AI learning and protected learning time; they plan to upskill more than half of employees versus 20% at laggards. A 6–10 week use-case sprint should establish a baseline, train a focused role group, provide approved tools/templates/risk guidance, require live-work practice, review quality/risk/results weekly, and codify good practice. [web:29][web:17]</w:t>
      </w:r>
    </w:p>
    <w:p>
      <w:pPr>
        <w:pStyle w:val="Heading1"/>
      </w:pPr>
      <w:r>
        <w:t>Generic literacy versus role-based learning</w:t>
      </w:r>
    </w:p>
    <w:tbl>
      <w:tblPr>
        <w:tblStyle w:val="LightShading-Accent1"/>
        <w:tblW w:type="auto" w:w="0"/>
        <w:tblLook w:firstColumn="1" w:firstRow="1" w:lastColumn="0" w:lastRow="0" w:noHBand="0" w:noVBand="1" w:val="04A0"/>
      </w:tblPr>
      <w:tblGrid>
        <w:gridCol w:w="5112"/>
        <w:gridCol w:w="5112"/>
      </w:tblGrid>
      <w:tr>
        <w:tc>
          <w:tcPr>
            <w:tcW w:type="dxa" w:w="5112"/>
          </w:tcPr>
          <w:p>
            <w:r>
              <w:t>Generic AI literacy</w:t>
            </w:r>
          </w:p>
        </w:tc>
        <w:tc>
          <w:tcPr>
            <w:tcW w:type="dxa" w:w="5112"/>
          </w:tcPr>
          <w:p>
            <w:r>
              <w:t>Role-based AI training</w:t>
            </w:r>
          </w:p>
        </w:tc>
      </w:tr>
      <w:tr>
        <w:tc>
          <w:tcPr>
            <w:tcW w:type="dxa" w:w="5112"/>
          </w:tcPr>
          <w:p>
            <w:r>
              <w:t>Shared concepts, limits, prompting basics, evaluation, privacy/security/bias, policy.</w:t>
            </w:r>
          </w:p>
        </w:tc>
        <w:tc>
          <w:tcPr>
            <w:tcW w:type="dxa" w:w="5112"/>
          </w:tcPr>
          <w:p>
            <w:r>
              <w:t>Specific workflow steps, artifacts, quality criteria, data boundaries, exceptions, approvals, and manager routines.</w:t>
            </w:r>
          </w:p>
        </w:tc>
      </w:tr>
      <w:tr>
        <w:tc>
          <w:tcPr>
            <w:tcW w:type="dxa" w:w="5112"/>
          </w:tcPr>
          <w:p>
            <w:r>
              <w:t>Modules, demos, foundation labs.</w:t>
            </w:r>
          </w:p>
        </w:tc>
        <w:tc>
          <w:tcPr>
            <w:tcW w:type="dxa" w:w="5112"/>
          </w:tcPr>
          <w:p>
            <w:r>
              <w:t>Immersion, simulations, use-case sprints, peer practice, coaching, job aids.</w:t>
            </w:r>
          </w:p>
        </w:tc>
      </w:tr>
      <w:tr>
        <w:tc>
          <w:tcPr>
            <w:tcW w:type="dxa" w:w="5112"/>
          </w:tcPr>
          <w:p>
            <w:r>
              <w:t>Success: understanding, confidence, safe-use awareness.</w:t>
            </w:r>
          </w:p>
        </w:tc>
        <w:tc>
          <w:tcPr>
            <w:tcW w:type="dxa" w:w="5112"/>
          </w:tcPr>
          <w:p>
            <w:r>
              <w:t>Success: demonstrated proficiency, repeated live-work use, quality and business outcomes.</w:t>
            </w:r>
          </w:p>
        </w:tc>
      </w:tr>
      <w:tr>
        <w:tc>
          <w:tcPr>
            <w:tcW w:type="dxa" w:w="5112"/>
          </w:tcPr>
          <w:p>
            <w:r>
              <w:t>General guidance on data and verification.</w:t>
            </w:r>
          </w:p>
        </w:tc>
        <w:tc>
          <w:tcPr>
            <w:tcW w:type="dxa" w:w="5112"/>
          </w:tcPr>
          <w:p>
            <w:r>
              <w:t>Specific prohibited uses, review thresholds, accountability, and escalation.</w:t>
            </w:r>
          </w:p>
        </w:tc>
      </w:tr>
    </w:tbl>
    <w:p>
      <w:r>
        <w:t>Microsoft found generic sales training did not consistently connect with employees, while role-based immersion grounded in real workflows, scenarios, and responsibilities made value concrete and raised confidence. [web:45]</w:t>
      </w:r>
    </w:p>
    <w:p>
      <w:pPr>
        <w:pStyle w:val="Heading1"/>
      </w:pPr>
      <w:r>
        <w:t>ROI methodology</w:t>
      </w:r>
    </w:p>
    <w:p>
      <w:r>
        <w:t>Measure: training → demonstrated skill → changed workflow behavior → business outcome → financial value. Do not use completion, licenses, logins, or self-reported time savings alone as ROI. Baseline time, volume, cost, quality, customer outcome, risk, workload complexity, staffing, seasonality and simultaneous changes. [web:56][web:59]</w:t>
      </w:r>
    </w:p>
    <w:tbl>
      <w:tblPr>
        <w:tblStyle w:val="LightShading-Accent1"/>
        <w:tblW w:type="auto" w:w="0"/>
        <w:tblLook w:firstColumn="1" w:firstRow="1" w:lastColumn="0" w:lastRow="0" w:noHBand="0" w:noVBand="1" w:val="04A0"/>
      </w:tblPr>
      <w:tblGrid>
        <w:gridCol w:w="5112"/>
        <w:gridCol w:w="5112"/>
      </w:tblGrid>
      <w:tr>
        <w:tc>
          <w:tcPr>
            <w:tcW w:type="dxa" w:w="5112"/>
          </w:tcPr>
          <w:p>
            <w:r>
              <w:t>Layer</w:t>
            </w:r>
          </w:p>
        </w:tc>
        <w:tc>
          <w:tcPr>
            <w:tcW w:type="dxa" w:w="5112"/>
          </w:tcPr>
          <w:p>
            <w:r>
              <w:t>Measures</w:t>
            </w:r>
          </w:p>
        </w:tc>
      </w:tr>
      <w:tr>
        <w:tc>
          <w:tcPr>
            <w:tcW w:type="dxa" w:w="5112"/>
          </w:tcPr>
          <w:p>
            <w:r>
              <w:t>Capability</w:t>
            </w:r>
          </w:p>
        </w:tc>
        <w:tc>
          <w:tcPr>
            <w:tcW w:type="dxa" w:w="5112"/>
          </w:tcPr>
          <w:p>
            <w:r>
              <w:t>Scenario assessment, simulation, work-product rubric, manager observation.</w:t>
            </w:r>
          </w:p>
        </w:tc>
      </w:tr>
      <w:tr>
        <w:tc>
          <w:tcPr>
            <w:tcW w:type="dxa" w:w="5112"/>
          </w:tcPr>
          <w:p>
            <w:r>
              <w:t>Adoption</w:t>
            </w:r>
          </w:p>
        </w:tc>
        <w:tc>
          <w:tcPr>
            <w:tcW w:type="dxa" w:w="5112"/>
          </w:tcPr>
          <w:p>
            <w:r>
              <w:t>Weekly active use by role, repeat use, eligible task use, template use, manager routines.</w:t>
            </w:r>
          </w:p>
        </w:tc>
      </w:tr>
      <w:tr>
        <w:tc>
          <w:tcPr>
            <w:tcW w:type="dxa" w:w="5112"/>
          </w:tcPr>
          <w:p>
            <w:r>
              <w:t>Workflow</w:t>
            </w:r>
          </w:p>
        </w:tc>
        <w:tc>
          <w:tcPr>
            <w:tcW w:type="dxa" w:w="5112"/>
          </w:tcPr>
          <w:p>
            <w:r>
              <w:t>Cycle time, throughput, rework, error rate, quality, handoffs, cost per transaction, escalation.</w:t>
            </w:r>
          </w:p>
        </w:tc>
      </w:tr>
      <w:tr>
        <w:tc>
          <w:tcPr>
            <w:tcW w:type="dxa" w:w="5112"/>
          </w:tcPr>
          <w:p>
            <w:r>
              <w:t>Business</w:t>
            </w:r>
          </w:p>
        </w:tc>
        <w:tc>
          <w:tcPr>
            <w:tcW w:type="dxa" w:w="5112"/>
          </w:tcPr>
          <w:p>
            <w:r>
              <w:t>Revenue, margin, cost-to-serve, CSAT, retention, risk avoided, strategic capability.</w:t>
            </w:r>
          </w:p>
        </w:tc>
      </w:tr>
    </w:tbl>
    <w:p>
      <w:r>
        <w:t>Use pre/post pilots, phased rollout, matched comparisons, randomized early/late cohorts, or difference-in-differences. Incremental improvement is the trained cohort’s pre/post change minus the comparison cohort’s pre/post change. Net ROI = (realized benefits – total investment) / total investment × 100. Include training design, learner/manager time, licenses, cloud/integration, data, change support, security/legal/risk and ongoing maintenance. Count time saved only when it is truly redeployed to capacity, overtime reduction, external-spend reduction, revenue, improved service, or another measured outcome. [web:56]</w:t>
      </w:r>
    </w:p>
    <w:p>
      <w:pPr>
        <w:pStyle w:val="Heading1"/>
      </w:pPr>
      <w:r>
        <w:t>Micro-credentials, simulation, and knowledge systems</w:t>
      </w:r>
    </w:p>
    <w:p>
      <w:r>
        <w:t>Micro-credentials should be short, stackable and performance-based: not merely “Generative AI Fundamentals,” but “AI-assisted customer case resolution,” “Responsible prompting for financial analysis,” “AI-enabled sales account planning,” “Manager of AI-enabled workflows,” or “AI risk and quality assurance practitioner.” [web:72] Completion badges establish access; knowledge badges establish understanding; scenario credentials establish simulated application; work-product credentials establish evaluated output; manager/peer validation establishes repeated quality use.</w:t>
      </w:r>
    </w:p>
    <w:p>
      <w:r>
        <w:t>Role play should test task framing, delegation, description/context, discernment, diligence, responsible use, domain judgment, and escalation. Scenarios can include unsupported sales claims, HR fairness/privacy risks, sensitive service encounters, plausible but incorrect analysis, and decisions about what to delegate/review/retain. Coursera describes AI role play as realistic, personalized-feedback workplace simulation. Anthropic’s cross-role framework is Delegation, Description, Discernment, and Diligence. [web:82][web:89]</w:t>
      </w:r>
    </w:p>
    <w:p>
      <w:r>
        <w:t>Scale individual “second brain” habits into a governed organizational knowledge-to-performance system: approved process/policy/product knowledge; SOPs; decision rights; quality rubrics; good/bad examples; reusable prompts; source ownership; permissions; retention; auditability; versioning; feedback; and retirement. Build shared assets for high-frequency, high-value, or high-risk work. Anthropic Skills package instructions, scripts and resources for specialized repeatable work; they should be concise, structured, clearly scoped, tested in real use, and iteratively improved. [web:94][web:87][web:93]</w:t>
      </w:r>
    </w:p>
    <w:p>
      <w:pPr>
        <w:pStyle w:val="Heading1"/>
      </w:pPr>
      <w:r>
        <w:t>Global leadership, equity, and trust</w:t>
      </w:r>
    </w:p>
    <w:p>
      <w:r>
        <w:t>Build an ecosystem of competency framework, authentic practice, trusted governance, manager enablement, knowledge infrastructure, equitable access, skills intelligence/mobility, and continuous evidence. UNESCO’s framework highlights human-centered mindset, ethics, AI techniques/applications, and AI system design, progressing Understand → Apply → Create. [web:99][web:101]</w:t>
      </w:r>
    </w:p>
    <w:p>
      <w:pPr>
        <w:pStyle w:val="ListBullet"/>
      </w:pPr>
      <w:r>
        <w:t>Use levels: Aware, Fluent, Applied, Builder, Leader.</w:t>
      </w:r>
    </w:p>
    <w:p>
      <w:pPr>
        <w:pStyle w:val="ListBullet"/>
      </w:pPr>
      <w:r>
        <w:t>Pair AI skills with durable human capabilities: critical thinking, judgment, communication, creativity, systems thinking, and ethical reasoning.</w:t>
      </w:r>
    </w:p>
    <w:p>
      <w:pPr>
        <w:pStyle w:val="ListBullet"/>
      </w:pPr>
      <w:r>
        <w:t>Train educators/facilitators, managers, executives, champions, builders, and control functions separately.</w:t>
      </w:r>
    </w:p>
    <w:p>
      <w:pPr>
        <w:pStyle w:val="ListBullet"/>
      </w:pPr>
      <w:r>
        <w:t>Provide approved practice sandboxes, datasets, scenarios, prompts, and feedback.</w:t>
      </w:r>
    </w:p>
    <w:p>
      <w:pPr>
        <w:pStyle w:val="ListBullet"/>
      </w:pPr>
      <w:r>
        <w:t>Design for languages, cultures, accessibility, devices/bandwidth, mobile/async modes, frontline workers and protected practice time.</w:t>
      </w:r>
    </w:p>
    <w:p>
      <w:pPr>
        <w:pStyle w:val="ListBullet"/>
      </w:pPr>
      <w:r>
        <w:t>Consult workers and communicate transparently about changing roles; OECD associates training and worker consultation with better worker outcomes. [web:98][web:104]</w:t>
      </w:r>
    </w:p>
    <w:p>
      <w:pPr>
        <w:pStyle w:val="ListBullet"/>
      </w:pPr>
      <w:r>
        <w:t>Refresh content, assessment, knowledge assets and policy on a defined cadence as models, tools, jobs and regulations change. [web:105]</w:t>
      </w:r>
    </w:p>
    <w:p>
      <w:pPr>
        <w:pStyle w:val="Heading1"/>
      </w:pPr>
      <w:r>
        <w:t>Consolidated executive-assistant prompt</w:t>
      </w:r>
    </w:p>
    <w:p>
      <w:r>
        <w:t>You are an executive AI skills transformation advisor. Treat skills transformation as a business and operating-model change program, not a standalone training initiative. Link learning to a small number of priority business outcomes, redesigned workflows, manager-led behavior change, internal mobility, trusted governance, and responsible AI.</w:t>
      </w:r>
    </w:p>
    <w:p>
      <w:r>
        <w:t>Collect: industry/geography/scale/business model/regulation; 3–5 strategic priorities; AI tools/use cases/data/governance maturity; workflows/roles/pain points/baselines; workforce and access needs; L&amp;D/manager/mobility environment; sponsorship/trust/change readiness; constraints; and success/risk thresholds. Ask no more than five high-value questions when critical facts are absent. Never invent facts, benchmarks, ROI, or customer capability.</w:t>
      </w:r>
    </w:p>
    <w:p>
      <w:r>
        <w:t>Select 3–4 missions by value, feasibility, workforce effect, risk and 90–180-day evidence. Map AI-assisted/automated and human-owned tasks; data/governance boundaries; review, logs, bias checks and escalation; changed skills, behaviors and manager routines. Segment executives, managers, all employees, practitioners, builders and controls functions.</w:t>
      </w:r>
    </w:p>
    <w:p>
      <w:r>
        <w:t>Design Foundation → Applied → Embedded learning. Foundation covers AI fluency, approved tools, safe use, privacy/security, evaluation, bias, judgment and escalation. Applied uses real workflow practice, simulations, role play, use-case sprints, coaching and evaluated artifacts. Embedded uses communities, job aids, SOPs, incentives and performance expectations.</w:t>
      </w:r>
    </w:p>
    <w:p>
      <w:r>
        <w:t>Use stackable performance credentials: foundation knowledge; scenario-based role credential; manager/reviewer-validated applied credential; advanced builder/leadership credential. Assess Delegation, Description, Discernment, Diligence, domain judgment and escalation with accuracy, relevance, policy, data handling, review and decision-rationale rubrics. Link credentials to projects, mentoring, talent marketplaces and career pathways.</w:t>
      </w:r>
    </w:p>
    <w:p>
      <w:r>
        <w:t>Recommend governed knowledge assets only for repeatable high-value work. Require owner, approved sources, access controls, versioning, review date, feedback loop and retirement process. Do not recommend unmanaged stores for confidential, customer, personal or regulated data.</w:t>
      </w:r>
    </w:p>
    <w:p>
      <w:r>
        <w:t>Measure capability, behavior, workflow performance, business value, mobility, trust/safety/risk. Establish baselines; use phased rollout, comparison group or qualified pre/post design; distinguish potential time saved from realized/redeployed value; include all costs. Report 30/60/90-day scale-adjust-stop criteria.</w:t>
      </w:r>
    </w:p>
    <w:p>
      <w:r>
        <w:t>Output: executive message; priorities table with value/roles/skills/risk/owner/proof point; skills strategy; 90-day plan; measurement scorecard; credential/simulation plan; leadership talking points; assumptions/open questions. Be practical, specific, evidence-aware, inclusive and concise. Prefer a few high-value priorities. Build trust with transparent boundaries and human accountability. Where evidence is missing, say “validate through pilot.”</w:t>
      </w:r>
    </w:p>
    <w:p>
      <w:pPr>
        <w:pStyle w:val="Heading1"/>
      </w:pPr>
      <w:r>
        <w:t>Executive pitch</w:t>
      </w:r>
    </w:p>
    <w:p>
      <w:r>
        <w:t>“Our AI opportunity is not primarily a technology rollout. It is a workforce and workflow transformation tied to a small number of business priorities. We will build baseline AI fluency for the workforce, but invest most deeply where redesigned human–AI workflows can improve measurable business outcomes. Managers will lead adoption in daily work; employees will receive time, tools, guardrails, and visible pathways to build relevant skills. We will judge progress by realized value, safe adoption, demonstrated capability, and workforce mobility—not by course completions alone.” [web:17][web:5]</w:t>
      </w:r>
    </w:p>
    <w:p>
      <w:pPr>
        <w:pStyle w:val="Heading1"/>
      </w:pPr>
      <w:r>
        <w:t>Sources used</w:t>
      </w:r>
    </w:p>
    <w:p>
      <w:r>
        <w:t>BCG [web:17], [web:20], [web:23], [web:29], [web:31], [web:33], [web:34]; WEF [web:5], [web:44], [web:47]; Microsoft [web:16], [web:45], [web:51], [web:56], [web:59]; McKinsey [web:21], [web:30]; Anthropic [web:87]–[web:94]; UNESCO [web:97], [web:99], [web:101], [web:105]; OECD [web:98], [web:104]; Coursera [web:72], [web:82]; Udemy [web:76], [web:79].</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