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avaliação-de-serviço-to-be"/>
    <w:p>
      <w:pPr>
        <w:pStyle w:val="Heading1"/>
      </w:pPr>
      <w:r>
        <w:t xml:space="preserve">Avaliação de Serviço — TO BE</w:t>
      </w:r>
    </w:p>
    <w:p>
      <w:pPr>
        <w:pStyle w:val="FirstParagraph"/>
      </w:pPr>
      <w:r>
        <w:rPr>
          <w:b/>
          <w:bCs/>
        </w:rPr>
        <w:t xml:space="preserve">Modelo de coleta, apresentação, triagem e leitura gerencial da avaliação dos serviços do Portal Único do MS.</w:t>
      </w:r>
    </w:p>
    <w:p>
      <w:pPr>
        <w:pStyle w:val="BodyText"/>
      </w:pPr>
      <w:r>
        <w:t xml:space="preserve">Baseado no modelo federal gov.br (Portaria SGD/MGI nº 1.083/2025) e nas regras de negócio consolidadas no estudo</w:t>
      </w:r>
      <w:r>
        <w:t xml:space="preserve"> </w:t>
      </w:r>
      <w:hyperlink r:id="rId9">
        <w:r>
          <w:rPr>
            <w:rStyle w:val="Hyperlink"/>
          </w:rPr>
          <w:t xml:space="preserve">Avaliação dos Serviços — Portal MS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149"/>
        <w:gridCol w:w="577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v1 — rascunho para validação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demandante</w:t>
            </w:r>
          </w:p>
        </w:tc>
        <w:tc>
          <w:tcPr/>
          <w:p>
            <w:pPr>
              <w:pStyle w:val="Compact"/>
            </w:pPr>
            <w:r>
              <w:t xml:space="preserve">Superintendência de Governo Digital (SGD) — SETDIG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Destinatário</w:t>
            </w:r>
          </w:p>
        </w:tc>
        <w:tc>
          <w:tcPr/>
          <w:p>
            <w:pPr>
              <w:pStyle w:val="Compact"/>
            </w:pPr>
            <w:r>
              <w:t xml:space="preserve">Xvia — time de UX e desenvolvimento do Portal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Aguardando validação do Analista de Negócios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Especificar como o Portal Único do MS deve coletar, apresentar, triar e reportar a avaliação que o cidadão faz dos serviços digitais do Estado.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coleta</w:t>
      </w:r>
      <w:r>
        <w:t xml:space="preserve"> </w:t>
      </w:r>
      <w:r>
        <w:t xml:space="preserve">compreende o formulário que o cidadão preenche ao concluir um serviço; a</w:t>
      </w:r>
      <w:r>
        <w:t xml:space="preserve"> </w:t>
      </w:r>
      <w:r>
        <w:rPr>
          <w:b/>
          <w:bCs/>
        </w:rPr>
        <w:t xml:space="preserve">apresentação</w:t>
      </w:r>
      <w:r>
        <w:t xml:space="preserve"> </w:t>
      </w:r>
      <w:r>
        <w:t xml:space="preserve">é como a nota resultante aparece na página pública do serviço; a</w:t>
      </w:r>
      <w:r>
        <w:t xml:space="preserve"> </w:t>
      </w:r>
      <w:r>
        <w:rPr>
          <w:b/>
          <w:bCs/>
        </w:rPr>
        <w:t xml:space="preserve">triagem</w:t>
      </w:r>
      <w:r>
        <w:t xml:space="preserve"> </w:t>
      </w:r>
      <w:r>
        <w:t xml:space="preserve">é o tratamento do comentário aberto antes de qualquer uso; os</w:t>
      </w:r>
      <w:r>
        <w:t xml:space="preserve"> </w:t>
      </w:r>
      <w:r>
        <w:rPr>
          <w:b/>
          <w:bCs/>
        </w:rPr>
        <w:t xml:space="preserve">painéis e indicadores</w:t>
      </w:r>
      <w:r>
        <w:t xml:space="preserve"> </w:t>
      </w:r>
      <w:r>
        <w:t xml:space="preserve">são a leitura gerencial que sustenta a decisão de melhoria e alimenta o contrato de gestão do Governo do Estado.</w:t>
      </w:r>
    </w:p>
    <w:p>
      <w:pPr>
        <w:pStyle w:val="BodyText"/>
      </w:pPr>
      <w:r>
        <w:t xml:space="preserve">O Estado opera</w:t>
      </w:r>
      <w:r>
        <w:t xml:space="preserve"> </w:t>
      </w:r>
      <w:r>
        <w:rPr>
          <w:b/>
          <w:bCs/>
        </w:rPr>
        <w:t xml:space="preserve">instrumento próprio</w:t>
      </w:r>
      <w:r>
        <w:t xml:space="preserve">, hospedado no Portal Único. O formulário federal do gov.br é a</w:t>
      </w:r>
      <w:r>
        <w:t xml:space="preserve"> </w:t>
      </w:r>
      <w:r>
        <w:rPr>
          <w:b/>
          <w:bCs/>
        </w:rPr>
        <w:t xml:space="preserve">base inicial</w:t>
      </w:r>
      <w:r>
        <w:t xml:space="preserve"> </w:t>
      </w:r>
      <w:r>
        <w:t xml:space="preserve">do desenho — ponto de partida já validado em escala nacional, que dá comparabilidade desde o primeiro dia.</w:t>
      </w:r>
      <w:r>
        <w:t xml:space="preserve"> </w:t>
      </w:r>
      <w:r>
        <w:rPr>
          <w:b/>
          <w:bCs/>
        </w:rPr>
        <w:t xml:space="preserve">Não é uma camisa de força:</w:t>
      </w:r>
      <w:r>
        <w:t xml:space="preserve"> </w:t>
      </w:r>
      <w:r>
        <w:t xml:space="preserve">o instrumento é do Estado e pode receber novos campos conforme a necessidade da gestão, respeitadas as regras da Seção</w:t>
      </w:r>
      <w:r>
        <w:t xml:space="preserve"> </w:t>
      </w:r>
      <w:hyperlink w:anchor="X2ad4f2afafd3b0b1ede513bda81a2bd762f6cbf">
        <w:r>
          <w:rPr>
            <w:rStyle w:val="Hyperlink"/>
          </w:rPr>
          <w:t xml:space="preserve">3.7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Fora deste pacote:</w:t>
      </w:r>
      <w:r>
        <w:t xml:space="preserve"> </w:t>
      </w:r>
      <w:r>
        <w:t xml:space="preserve">definição de perfis e permissões de acesso; cessão de dados ao gov.br via API.</w:t>
      </w:r>
    </w:p>
    <w:p>
      <w:r>
        <w:pict>
          <v:rect style="width:0;height:1.5pt" o:hralign="center" o:hrstd="t" o:hr="t"/>
        </w:pict>
      </w:r>
    </w:p>
    <w:bookmarkEnd w:id="10"/>
    <w:bookmarkStart w:id="11" w:name="escopos-cobertos"/>
    <w:p>
      <w:pPr>
        <w:pStyle w:val="Heading2"/>
      </w:pPr>
      <w:r>
        <w:t xml:space="preserve">2. Escopos cobertos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3168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Seção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Coleta da avaliação pelo cidadão</w:t>
            </w:r>
          </w:p>
        </w:tc>
        <w:tc>
          <w:tcPr/>
          <w:p>
            <w:pPr>
              <w:pStyle w:val="Compact"/>
            </w:pPr>
            <w:hyperlink w:anchor="Xaab619280a89e420166b8b8a205ed296db7e9fe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Apresentação da nota ao cidadão</w:t>
            </w:r>
          </w:p>
        </w:tc>
        <w:tc>
          <w:tcPr/>
          <w:p>
            <w:pPr>
              <w:pStyle w:val="Compact"/>
            </w:pPr>
            <w:hyperlink w:anchor="X0800342f67b9245b69d30bee2decdf3e0b9b490">
              <w:r>
                <w:rPr>
                  <w:rStyle w:val="Hyperlink"/>
                </w:rPr>
                <w:t xml:space="preserve">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Triagem do comentário aberto</w:t>
            </w:r>
          </w:p>
        </w:tc>
        <w:tc>
          <w:tcPr/>
          <w:p>
            <w:pPr>
              <w:pStyle w:val="Compact"/>
            </w:pPr>
            <w:hyperlink w:anchor="X0931c9314121b1584cb86559eca4cc458ea29bb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Painéis e indicadores</w:t>
            </w:r>
          </w:p>
        </w:tc>
        <w:tc>
          <w:tcPr/>
          <w:p>
            <w:pPr>
              <w:pStyle w:val="Compact"/>
            </w:pPr>
            <w:hyperlink w:anchor="X826c80f5444d98232e134a23df72d91e36106d6">
              <w:r>
                <w:rPr>
                  <w:rStyle w:val="Hyperlink"/>
                </w:rPr>
                <w:t xml:space="preserve">6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Não cobertos por este documento: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Perfis e controle de acesso (RBAC).</w:t>
      </w:r>
      <w:r>
        <w:t xml:space="preserve"> </w:t>
      </w:r>
      <w:r>
        <w:t xml:space="preserve">As seções abaixo indicam</w:t>
      </w:r>
      <w:r>
        <w:t xml:space="preserve"> </w:t>
      </w:r>
      <w:r>
        <w:rPr>
          <w:i/>
          <w:iCs/>
        </w:rPr>
        <w:t xml:space="preserve">qual área</w:t>
      </w:r>
      <w:r>
        <w:t xml:space="preserve"> </w:t>
      </w:r>
      <w:r>
        <w:t xml:space="preserve">consome cada informação, mas a modelagem de perfis e permissões é tratada em etapa própria — ver</w:t>
      </w:r>
      <w:r>
        <w:t xml:space="preserve"> </w:t>
      </w:r>
      <w:hyperlink w:anchor="Xf1929b018ae4e7a9f15e4d50b319e8be67fd8db">
        <w:r>
          <w:rPr>
            <w:rStyle w:val="Hyperlink"/>
          </w:rPr>
          <w:t xml:space="preserve">Pendência P1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Cessão de dados ao gov.br via API.</w:t>
      </w:r>
      <w:r>
        <w:t xml:space="preserve"> </w:t>
      </w:r>
      <w:r>
        <w:t xml:space="preserve">Documento separado.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Avaliação da carta de serviço</w:t>
      </w:r>
      <w:r>
        <w:t xml:space="preserve"> </w:t>
      </w:r>
      <w:r>
        <w:t xml:space="preserve">(</w:t>
      </w:r>
      <w:r>
        <w:t xml:space="preserve">“Esta informação foi útil?”</w:t>
      </w:r>
      <w:r>
        <w:t xml:space="preserve"> </w:t>
      </w:r>
      <w:r>
        <w:t xml:space="preserve">e</w:t>
      </w:r>
      <w:r>
        <w:t xml:space="preserve"> </w:t>
      </w:r>
      <w:r>
        <w:t xml:space="preserve">“Reportar erro”</w:t>
      </w:r>
      <w:r>
        <w:t xml:space="preserve">), que já existe em produção e permanece como está — ver</w:t>
      </w:r>
      <w:r>
        <w:t xml:space="preserve"> </w:t>
      </w:r>
      <w:hyperlink w:anchor="Xf1929b018ae4e7a9f15e4d50b319e8be67fd8db">
        <w:r>
          <w:rPr>
            <w:rStyle w:val="Hyperlink"/>
          </w:rPr>
          <w:t xml:space="preserve">Pendência P5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1" w:name="escopo-1-coleta-da-avaliação"/>
    <w:p>
      <w:pPr>
        <w:pStyle w:val="Heading2"/>
      </w:pPr>
      <w:r>
        <w:t xml:space="preserve">3. Escopo 1 — Coleta da avaliação</w:t>
      </w:r>
    </w:p>
    <w:bookmarkStart w:id="12" w:name="ponto-de-disparo"/>
    <w:p>
      <w:pPr>
        <w:pStyle w:val="Heading3"/>
      </w:pPr>
      <w:r>
        <w:t xml:space="preserve">3.1. Ponto de disparo</w:t>
      </w:r>
    </w:p>
    <w:p>
      <w:pPr>
        <w:pStyle w:val="FirstParagraph"/>
      </w:pPr>
      <w:r>
        <w:t xml:space="preserve">Ao concluir um serviço, o cidadão vê na tela de confirmação um convite discreto:</w:t>
      </w:r>
      <w:r>
        <w:t xml:space="preserve"> </w:t>
      </w:r>
      <w:r>
        <w:rPr>
          <w:b/>
          <w:bCs/>
        </w:rPr>
        <w:t xml:space="preserve">“Avalie este serviço”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Regra jurídica que condiciona todo este escopo:</w:t>
      </w:r>
      <w:r>
        <w:t xml:space="preserve"> </w:t>
      </w:r>
      <w:r>
        <w:t xml:space="preserve">a avaliação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pode ser etapa obrigatória da jornada (art. 7º, §3º, Portaria SGD/ME nº 548/2022, mantido pela Portaria SGD/MGI nº 1.083/2025). Fechar, pular ou ignorar o convite deve estar sempre disponível, sem prejuízo algum ao serviço.</w:t>
      </w:r>
    </w:p>
    <w:bookmarkEnd w:id="12"/>
    <w:bookmarkStart w:id="13" w:name="cabeçalho-do-formulário"/>
    <w:p>
      <w:pPr>
        <w:pStyle w:val="Heading3"/>
      </w:pPr>
      <w:r>
        <w:t xml:space="preserve">3.2. Cabeçalho do formulário</w:t>
      </w:r>
    </w:p>
    <w:p>
      <w:pPr>
        <w:pStyle w:val="FirstParagraph"/>
      </w:pPr>
      <w:r>
        <w:t xml:space="preserve">Texto fixo:</w:t>
      </w:r>
    </w:p>
    <w:p>
      <w:pPr>
        <w:pStyle w:val="BlockText"/>
      </w:pPr>
      <w:r>
        <w:rPr>
          <w:b/>
          <w:bCs/>
        </w:rPr>
        <w:t xml:space="preserve">Avaliação do Serviço — {Nome do Serviço} — {Órgão}</w:t>
      </w:r>
    </w:p>
    <w:bookmarkEnd w:id="13"/>
    <w:bookmarkStart w:id="14" w:name="campos-do-formulário-núcleo-inicial"/>
    <w:p>
      <w:pPr>
        <w:pStyle w:val="Heading3"/>
      </w:pPr>
      <w:r>
        <w:t xml:space="preserve">3.3. Campos do formulário — núcleo inicial</w:t>
      </w:r>
    </w:p>
    <w:p>
      <w:pPr>
        <w:pStyle w:val="FirstParagraph"/>
      </w:pPr>
      <w:r>
        <w:t xml:space="preserve">Estes são os campos com que o instrumento entra no ar. Replicam o formulário federal. Único campo obrigatório é a nota; os demais podem ficar em branco sem impedir o envio.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"/>
        <w:gridCol w:w="882"/>
        <w:gridCol w:w="1097"/>
        <w:gridCol w:w="215"/>
        <w:gridCol w:w="4450"/>
        <w:gridCol w:w="12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de 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 de Preenchimento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Como foi a sua experiência com o serviço?</w:t>
            </w:r>
          </w:p>
        </w:tc>
        <w:tc>
          <w:tcPr/>
          <w:p>
            <w:pPr>
              <w:pStyle w:val="Compact"/>
            </w:pPr>
            <w:r>
              <w:t xml:space="preserve">rating — 5 estrelas com rótulo verbal fixo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Nota do cidadão. Rótulos: 1 Péssima, 2 Ruim, 3 Mais ou menos, 4 Boa, 5 Excelente. Valor gravado é o inteiro de 1 a 5.</w:t>
            </w:r>
          </w:p>
        </w:tc>
        <w:tc>
          <w:tcPr/>
          <w:p>
            <w:pPr>
              <w:pStyle w:val="Compact"/>
            </w:pPr>
            <w:r>
              <w:t xml:space="preserve">4 — Boa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 que você mais gostou em nosso serviço?</w:t>
            </w:r>
          </w:p>
        </w:tc>
        <w:tc>
          <w:tcPr/>
          <w:p>
            <w:pPr>
              <w:pStyle w:val="Compact"/>
            </w:pPr>
            <w:r>
              <w:t xml:space="preserve">checkbox em formato de card — 6 opções, seleção de até 3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Motivos positivos. Opções: Fácil de usar; Site/aplicativo funcionou bem; Informações claras; Consegui resolver; Foi rápido; Fácil de encontrar. Gravado como lista de códigos.</w:t>
            </w:r>
          </w:p>
        </w:tc>
        <w:tc>
          <w:tcPr/>
          <w:p>
            <w:pPr>
              <w:pStyle w:val="Compact"/>
            </w:pPr>
            <w:r>
              <w:t xml:space="preserve">Foi rápido; Consegui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Deixe elogio, sugestão ou crítica</w:t>
            </w:r>
          </w:p>
        </w:tc>
        <w:tc>
          <w:tcPr/>
          <w:p>
            <w:pPr>
              <w:pStyle w:val="Compact"/>
            </w:pPr>
            <w:r>
              <w:t xml:space="preserve">textarea — limite 2.000 caracteres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Comentário livre. Placeholder:</w:t>
            </w:r>
            <w:r>
              <w:t xml:space="preserve"> </w:t>
            </w:r>
            <w:r>
              <w:rPr>
                <w:i/>
                <w:iCs/>
              </w:rPr>
              <w:t xml:space="preserve">“Para que possamos melhorar o serviço, conte-nos sobre sua experiência.”</w:t>
            </w:r>
            <w:r>
              <w:t xml:space="preserve"> </w:t>
            </w:r>
            <w:r>
              <w:t xml:space="preserve">Contador de caracteres restantes visível.</w:t>
            </w:r>
          </w:p>
        </w:tc>
        <w:tc>
          <w:tcPr/>
          <w:p>
            <w:pPr>
              <w:pStyle w:val="Compact"/>
            </w:pPr>
            <w:r>
              <w:t xml:space="preserve">O agendamento foi rápido, mas o e-mail de confirmação demorou.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Você se considera uma pessoa com deficiência?</w:t>
            </w:r>
          </w:p>
        </w:tc>
        <w:tc>
          <w:tcPr/>
          <w:p>
            <w:pPr>
              <w:pStyle w:val="Compact"/>
            </w:pPr>
            <w:r>
              <w:t xml:space="preserve">radio — Sim / 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Autodeclaração de PcD.</w:t>
            </w:r>
            <w:r>
              <w:t xml:space="preserve"> </w:t>
            </w:r>
            <w:r>
              <w:rPr>
                <w:b/>
                <w:bCs/>
              </w:rPr>
              <w:t xml:space="preserve">Dado pessoal sensível</w:t>
            </w:r>
            <w:r>
              <w:t xml:space="preserve"> </w:t>
            </w:r>
            <w:r>
              <w:t xml:space="preserve">(LGPD art. 5º, II) — bloco visualmente separado dos anteriores, com o aviso:</w:t>
            </w:r>
            <w:r>
              <w:t xml:space="preserve"> </w:t>
            </w:r>
            <w:r>
              <w:rPr>
                <w:i/>
                <w:iCs/>
              </w:rPr>
              <w:t xml:space="preserve">“Para garantir que nossos serviços atendam todas as pessoas, gostaríamos de saber mais sobre você.”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End w:id="14"/>
    <w:bookmarkStart w:id="15" w:name="metadados-gravados-junto-com-a-avaliação"/>
    <w:p>
      <w:pPr>
        <w:pStyle w:val="Heading3"/>
      </w:pPr>
      <w:r>
        <w:t xml:space="preserve">3.4. Metadados gravados junto com a avaliação</w:t>
      </w:r>
    </w:p>
    <w:p>
      <w:pPr>
        <w:pStyle w:val="FirstParagraph"/>
      </w:pPr>
      <w:r>
        <w:t xml:space="preserve">Não são preenchidos pelo cidadão nem exibidos na tela. Gravados pelo sistema no momento do envio.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"/>
        <w:gridCol w:w="669"/>
        <w:gridCol w:w="748"/>
        <w:gridCol w:w="433"/>
        <w:gridCol w:w="4964"/>
        <w:gridCol w:w="9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 de Preenchimento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id_servico</w:t>
            </w:r>
          </w:p>
        </w:tc>
        <w:tc>
          <w:tcPr/>
          <w:p>
            <w:pPr>
              <w:pStyle w:val="Compact"/>
            </w:pPr>
            <w:r>
              <w:t xml:space="preserve">chave técnica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do serviço avaliado, vinculado ao catálogo do Portal Único.</w:t>
            </w:r>
          </w:p>
        </w:tc>
        <w:tc>
          <w:tcPr/>
          <w:p>
            <w:pPr>
              <w:pStyle w:val="Compact"/>
            </w:pPr>
            <w:r>
              <w:t xml:space="preserve">4f2c8e10-…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id_orgao</w:t>
            </w:r>
          </w:p>
        </w:tc>
        <w:tc>
          <w:tcPr/>
          <w:p>
            <w:pPr>
              <w:pStyle w:val="Compact"/>
            </w:pPr>
            <w:r>
              <w:t xml:space="preserve">chave técnica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Órgão responsável pelo serviço, derivado do cadastro do serviço.</w:t>
            </w:r>
          </w:p>
        </w:tc>
        <w:tc>
          <w:tcPr/>
          <w:p>
            <w:pPr>
              <w:pStyle w:val="Compact"/>
            </w:pPr>
            <w:r>
              <w:t xml:space="preserve">Polícia Militar de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enum — web / mobile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Canal pelo qual a avaliação foi enviada.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data_hora</w:t>
            </w:r>
          </w:p>
        </w:tc>
        <w:tc>
          <w:tcPr/>
          <w:p>
            <w:pPr>
              <w:pStyle w:val="Compact"/>
            </w:pPr>
            <w:r>
              <w:t xml:space="preserve">datetime ISO-8601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Momento do envio. Base de toda agregação temporal.</w:t>
            </w:r>
          </w:p>
        </w:tc>
        <w:tc>
          <w:tcPr/>
          <w:p>
            <w:pPr>
              <w:pStyle w:val="Compact"/>
            </w:pPr>
            <w:r>
              <w:t xml:space="preserve">2026-08-21T14:32:07-04:00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hash_sessao</w:t>
            </w:r>
          </w:p>
        </w:tc>
        <w:tc>
          <w:tcPr/>
          <w:p>
            <w:pPr>
              <w:pStyle w:val="Compact"/>
            </w:pPr>
            <w:r>
              <w:t xml:space="preserve">SHA-256 truncado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efêmero da sessão, usado</w:t>
            </w:r>
            <w:r>
              <w:t xml:space="preserve"> </w:t>
            </w:r>
            <w:r>
              <w:rPr>
                <w:b/>
                <w:bCs/>
              </w:rPr>
              <w:t xml:space="preserve">apenas</w:t>
            </w:r>
            <w:r>
              <w:t xml:space="preserve"> </w:t>
            </w:r>
            <w:r>
              <w:t xml:space="preserve">para deduplicação. Não permite identificar o cidadão. Descartado em 90 dias.</w:t>
            </w:r>
          </w:p>
        </w:tc>
        <w:tc>
          <w:tcPr/>
          <w:p>
            <w:pPr>
              <w:pStyle w:val="Compact"/>
            </w:pPr>
            <w:r>
              <w:t xml:space="preserve">a91f3c…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versao_formulario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Versão da configuração de campos vigente no momento do envio. Permite comparar séries quando o formulário muda (Seção 3.7).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5"/>
    <w:bookmarkStart w:id="16" w:name="ações-da-tela"/>
    <w:p>
      <w:pPr>
        <w:pStyle w:val="Heading3"/>
      </w:pPr>
      <w:r>
        <w:t xml:space="preserve">3.5. Ações da tela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96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Quando fica disponível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avaliação</w:t>
            </w:r>
          </w:p>
        </w:tc>
        <w:tc>
          <w:tcPr/>
          <w:p>
            <w:pPr>
              <w:pStyle w:val="Compact"/>
            </w:pPr>
            <w:r>
              <w:t xml:space="preserve">Habilita assim que a nota (campo 1) é escolhida. Permanece desabilitado antes disso.</w:t>
            </w:r>
          </w:p>
        </w:tc>
        <w:tc>
          <w:tcPr/>
          <w:p>
            <w:pPr>
              <w:pStyle w:val="Compact"/>
            </w:pPr>
            <w:r>
              <w:t xml:space="preserve">Grava a avaliação e exibe a tela de agradecimento.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 / Pular</w:t>
            </w:r>
          </w:p>
        </w:tc>
        <w:tc>
          <w:tcPr/>
          <w:p>
            <w:pPr>
              <w:pStyle w:val="Compact"/>
            </w:pPr>
            <w:r>
              <w:t xml:space="preserve">Sempre disponível, em qualquer momento do preenchimento.</w:t>
            </w:r>
          </w:p>
        </w:tc>
        <w:tc>
          <w:tcPr/>
          <w:p>
            <w:pPr>
              <w:pStyle w:val="Compact"/>
            </w:pPr>
            <w:r>
              <w:t xml:space="preserve">Encerra o fluxo sem gravar nada. Cidadão segue sem prejuízo.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tratamos seus dados</w:t>
            </w:r>
          </w:p>
        </w:tc>
        <w:tc>
          <w:tcPr/>
          <w:p>
            <w:pPr>
              <w:pStyle w:val="Compact"/>
            </w:pPr>
            <w:r>
              <w:t xml:space="preserve">Sempre disponível, como link abaixo do botão de envio.</w:t>
            </w:r>
          </w:p>
        </w:tc>
        <w:tc>
          <w:tcPr/>
          <w:p>
            <w:pPr>
              <w:pStyle w:val="Compact"/>
            </w:pPr>
            <w:r>
              <w:t xml:space="preserve">Abre o aviso de privacidade em camadas (Seção 3.8).</w:t>
            </w:r>
          </w:p>
        </w:tc>
      </w:tr>
    </w:tbl>
    <w:bookmarkEnd w:id="16"/>
    <w:bookmarkStart w:id="17" w:name="regras-de-negócio"/>
    <w:p>
      <w:pPr>
        <w:pStyle w:val="Heading3"/>
      </w:pPr>
      <w:r>
        <w:t xml:space="preserve">3.6. Regras de negócio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Convite único.</w:t>
      </w:r>
      <w:r>
        <w:t xml:space="preserve"> </w:t>
      </w:r>
      <w:r>
        <w:t xml:space="preserve">Um serviço concluído gera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convite. Não há retry, lembrete, pop-up recorrente ou segunda tentativa na mesma sessão.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bloquear.</w:t>
      </w:r>
      <w:r>
        <w:t xml:space="preserve"> </w:t>
      </w:r>
      <w:r>
        <w:t xml:space="preserve">Nenhum passo do fluxo pode impedir, atrasar ou condicionar a conclusão do serviço.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Anônimo por design.</w:t>
      </w:r>
      <w:r>
        <w:t xml:space="preserve"> </w:t>
      </w:r>
      <w:r>
        <w:t xml:space="preserve">Nenhuma etapa exige login, CPF, e-mail, telefone ou nome. Esses campos</w:t>
      </w:r>
      <w:r>
        <w:t xml:space="preserve"> </w:t>
      </w:r>
      <w:r>
        <w:rPr>
          <w:b/>
          <w:bCs/>
        </w:rPr>
        <w:t xml:space="preserve">não existem</w:t>
      </w:r>
      <w:r>
        <w:t xml:space="preserve"> </w:t>
      </w:r>
      <w:r>
        <w:t xml:space="preserve">no formulário.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Uma única obrigatoriedade.</w:t>
      </w:r>
      <w:r>
        <w:t xml:space="preserve"> </w:t>
      </w:r>
      <w:r>
        <w:t xml:space="preserve">A nota é o único campo obrigatório. Nenhum campo adicional pode ser tornado obrigatório (ver Seção 3.7).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Envio parcial é envio válido.</w:t>
      </w:r>
      <w:r>
        <w:t xml:space="preserve"> </w:t>
      </w:r>
      <w:r>
        <w:t xml:space="preserve">Nota preenchida e demais campos em branco é uma avaliação completa e deve ser gravada normalmente.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Deduplicação.</w:t>
      </w:r>
      <w:r>
        <w:t xml:space="preserve"> </w:t>
      </w:r>
      <w:r>
        <w:t xml:space="preserve">Uma avaliação por</w:t>
      </w:r>
      <w:r>
        <w:t xml:space="preserve"> </w:t>
      </w:r>
      <w:r>
        <w:rPr>
          <w:rStyle w:val="VerbatimChar"/>
        </w:rPr>
        <w:t xml:space="preserve">hash_sessao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id_servico</w:t>
      </w:r>
      <w:r>
        <w:t xml:space="preserve">. Tentativa repetida retorna a tela de agradecimento sem gravar novo registro.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Registro imutável.</w:t>
      </w:r>
      <w:r>
        <w:t xml:space="preserve"> </w:t>
      </w:r>
      <w:r>
        <w:t xml:space="preserve">Avaliação enviada não é editável nem excluível pelo cidadão nem pelo órgão.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Desempenho.</w:t>
      </w:r>
      <w:r>
        <w:t xml:space="preserve"> </w:t>
      </w:r>
      <w:r>
        <w:t xml:space="preserve">A API de coleta deve responder em menos de 500 ms no p95. O cidadão nunca espera para enviar.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Falha silenciosa.</w:t>
      </w:r>
      <w:r>
        <w:t xml:space="preserve"> </w:t>
      </w:r>
      <w:r>
        <w:t xml:space="preserve">Se a gravação falhar, o cidadão ainda vê a tela de agradecimento. O erro é logado para o time técnico — nunca exibido como obstáculo ao cidadão.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Tela de agradecimento.</w:t>
      </w:r>
      <w:r>
        <w:t xml:space="preserve"> </w:t>
      </w:r>
      <w:r>
        <w:t xml:space="preserve">Após o envio:</w:t>
      </w:r>
      <w:r>
        <w:t xml:space="preserve"> </w:t>
      </w:r>
      <w:r>
        <w:rPr>
          <w:i/>
          <w:iCs/>
        </w:rPr>
        <w:t xml:space="preserve">“Obrigado. Sua opinião foi registrada.”</w:t>
      </w:r>
      <w:r>
        <w:t xml:space="preserve"> </w:t>
      </w:r>
      <w:r>
        <w:t xml:space="preserve">Sem nova pergunta, sem convite a compartilhar, sem redirecionamento automático.</w:t>
      </w:r>
    </w:p>
    <w:bookmarkEnd w:id="17"/>
    <w:bookmarkStart w:id="18" w:name="extensibilidade-do-formulário"/>
    <w:p>
      <w:pPr>
        <w:pStyle w:val="Heading3"/>
      </w:pPr>
      <w:r>
        <w:t xml:space="preserve">3.7. Extensibilidade do formulário</w:t>
      </w:r>
    </w:p>
    <w:p>
      <w:pPr>
        <w:pStyle w:val="FirstParagraph"/>
      </w:pPr>
      <w:r>
        <w:t xml:space="preserve">O formulário</w:t>
      </w:r>
      <w:r>
        <w:t xml:space="preserve"> </w:t>
      </w:r>
      <w:r>
        <w:rPr>
          <w:b/>
          <w:bCs/>
        </w:rPr>
        <w:t xml:space="preserve">não é fixo</w:t>
      </w:r>
      <w:r>
        <w:t xml:space="preserve">. A composição de campos é parametrizável — a gestão pode incluir, remover, reordenar ou reetiquetar campos sem alteração de código ou deploy, seguindo o mesmo princípio já adotado no cadastro da carta de serviço.</w:t>
      </w:r>
    </w:p>
    <w:p>
      <w:pPr>
        <w:pStyle w:val="BodyText"/>
      </w:pPr>
      <w:r>
        <w:t xml:space="preserve">Os campos da Seção 3.3 são o</w:t>
      </w:r>
      <w:r>
        <w:t xml:space="preserve"> </w:t>
      </w:r>
      <w:r>
        <w:rPr>
          <w:b/>
          <w:bCs/>
        </w:rPr>
        <w:t xml:space="preserve">núcleo inicial</w:t>
      </w:r>
      <w:r>
        <w:t xml:space="preserve">: o ponto de partida com que o instrumento entra no ar, herdado do modelo federal.</w:t>
      </w:r>
    </w:p>
    <w:p>
      <w:pPr>
        <w:pStyle w:val="BodyText"/>
      </w:pPr>
      <w:r>
        <w:rPr>
          <w:b/>
          <w:bCs/>
        </w:rPr>
        <w:t xml:space="preserve">Regras que qualquer campo novo deve respeitar: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Opcional sempre.</w:t>
      </w:r>
      <w:r>
        <w:t xml:space="preserve"> </w:t>
      </w:r>
      <w:r>
        <w:t xml:space="preserve">A nota permanece o único campo obrigatório. Nenhum campo adicionado pode bloquear o envio.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 dado identificável.</w:t>
      </w:r>
      <w:r>
        <w:t xml:space="preserve"> </w:t>
      </w:r>
      <w:r>
        <w:t xml:space="preserve">Campo novo não pode pedir nome, CPF, e-mail, telefone, endereço, localização precisa ou qualquer dado que identifique o cidadão, direta ou indiretamente. Isso é limite legal, não preferência de desenho (LGPD art. 6º, III).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 declarado antes da criação.</w:t>
      </w:r>
      <w:r>
        <w:t xml:space="preserve"> </w:t>
      </w:r>
      <w:r>
        <w:t xml:space="preserve">Todo campo precisa ter, no ato da criação, um indicador ou decisão de gestão que ele alimenta. Campo sem uso definido não entra — é coleta sem finalidade.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 sensível exige avaliação prévia.</w:t>
      </w:r>
      <w:r>
        <w:t xml:space="preserve"> </w:t>
      </w:r>
      <w:r>
        <w:t xml:space="preserve">Campo que trate de dado sensível (LGPD art. 5º, II) só entra após parecer do Encarregado (DPO), com bloco visualmente separado e aviso de finalidade, como já ocorre com a autodeclaração de PcD.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 cognitivo é orçamento fechado.</w:t>
      </w:r>
      <w:r>
        <w:t xml:space="preserve"> </w:t>
      </w:r>
      <w:r>
        <w:t xml:space="preserve">Formulário longo derruba a taxa de resposta. Recomendação: no máximo</w:t>
      </w:r>
      <w:r>
        <w:t xml:space="preserve"> </w:t>
      </w:r>
      <w:r>
        <w:rPr>
          <w:b/>
          <w:bCs/>
        </w:rPr>
        <w:t xml:space="preserve">6 campos visíveis</w:t>
      </w:r>
      <w:r>
        <w:t xml:space="preserve"> </w:t>
      </w:r>
      <w:r>
        <w:t xml:space="preserve">simultaneamente. Acima disso, avaliar substituir um campo existente em vez de somar mais 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Aditivo, nunca destrutivo.</w:t>
      </w:r>
      <w:r>
        <w:t xml:space="preserve"> </w:t>
      </w:r>
      <w:r>
        <w:t xml:space="preserve">Alterar a semântica de um campo do núcleo — mudar a escala, os rótulos ou o texto da pergunta 1 —</w:t>
      </w:r>
      <w:r>
        <w:t xml:space="preserve"> </w:t>
      </w:r>
      <w:r>
        <w:rPr>
          <w:b/>
          <w:bCs/>
        </w:rPr>
        <w:t xml:space="preserve">quebra a série histórica e a comparabilidade com o gov.br</w:t>
      </w:r>
      <w:r>
        <w:t xml:space="preserve">. Se for realmente necessário, trata-se de um campo novo, não da edição do existente; o antigo é descontinuado e a mudança é registrada como nova</w:t>
      </w:r>
      <w:r>
        <w:t xml:space="preserve"> </w:t>
      </w:r>
      <w:r>
        <w:rPr>
          <w:rStyle w:val="VerbatimChar"/>
        </w:rPr>
        <w:t xml:space="preserve">versao_formulario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Versionamento obrigatório.</w:t>
      </w:r>
      <w:r>
        <w:t xml:space="preserve"> </w:t>
      </w:r>
      <w:r>
        <w:t xml:space="preserve">Toda alteração da composição de campos gera nova</w:t>
      </w:r>
      <w:r>
        <w:t xml:space="preserve"> </w:t>
      </w:r>
      <w:r>
        <w:rPr>
          <w:rStyle w:val="VerbatimChar"/>
        </w:rPr>
        <w:t xml:space="preserve">versao_formulario</w:t>
      </w:r>
      <w:r>
        <w:t xml:space="preserve">, gravada em cada avaliação (Seção 3.4). Sem isso, não há como saber se uma queda na média veio do serviço ou de uma mudança no formulário.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Avaliações antigas não são reescritas.</w:t>
      </w:r>
      <w:r>
        <w:t xml:space="preserve"> </w:t>
      </w:r>
      <w:r>
        <w:t xml:space="preserve">Campo removido preserva os dados já coletados; campo adicionado nasce vazio para o histórico.</w:t>
      </w:r>
    </w:p>
    <w:p>
      <w:pPr>
        <w:pStyle w:val="FirstParagraph"/>
      </w:pPr>
      <w:r>
        <w:rPr>
          <w:b/>
          <w:bCs/>
        </w:rPr>
        <w:t xml:space="preserve">Escopo da parametrização</w:t>
      </w:r>
      <w:r>
        <w:t xml:space="preserve"> </w:t>
      </w:r>
      <w:r>
        <w:t xml:space="preserve">— global, por órgão ou por serviço — e quem tem competência para alterar são pontos ainda em aberto: ver</w:t>
      </w:r>
      <w:r>
        <w:t xml:space="preserve"> </w:t>
      </w:r>
      <w:hyperlink w:anchor="Xf1929b018ae4e7a9f15e4d50b319e8be67fd8db">
        <w:r>
          <w:rPr>
            <w:rStyle w:val="Hyperlink"/>
          </w:rPr>
          <w:t xml:space="preserve">Pendência P2</w:t>
        </w:r>
      </w:hyperlink>
      <w:r>
        <w:t xml:space="preserve">.</w:t>
      </w:r>
    </w:p>
    <w:bookmarkEnd w:id="18"/>
    <w:bookmarkStart w:id="20" w:name="aviso-de-privacidade-no-ato"/>
    <w:p>
      <w:pPr>
        <w:pStyle w:val="Heading3"/>
      </w:pPr>
      <w:r>
        <w:t xml:space="preserve">3.8. Aviso de privacidade no ato</w:t>
      </w:r>
    </w:p>
    <w:p>
      <w:pPr>
        <w:pStyle w:val="FirstParagraph"/>
      </w:pPr>
      <w:r>
        <w:t xml:space="preserve">Link</w:t>
      </w:r>
      <w:r>
        <w:t xml:space="preserve"> </w:t>
      </w:r>
      <w:r>
        <w:rPr>
          <w:b/>
          <w:bCs/>
        </w:rPr>
        <w:t xml:space="preserve">“Como tratamos seus dados”</w:t>
      </w:r>
      <w:r>
        <w:t xml:space="preserve"> </w:t>
      </w:r>
      <w:r>
        <w:t xml:space="preserve">logo abaixo do botão de envio, abrindo o texto resumido. Conteúdo integral em</w:t>
      </w:r>
      <w:r>
        <w:t xml:space="preserve"> </w:t>
      </w:r>
      <w:hyperlink r:id="rId19">
        <w:r>
          <w:rPr>
            <w:rStyle w:val="Hyperlink"/>
          </w:rPr>
          <w:t xml:space="preserve">LGPD</w:t>
        </w:r>
      </w:hyperlink>
      <w:r>
        <w:t xml:space="preserve">.</w:t>
      </w:r>
    </w:p>
    <w:p>
      <w:pPr>
        <w:pStyle w:val="BodyText"/>
      </w:pPr>
      <w:r>
        <w:t xml:space="preserve">Resumo obrigatório na tela:</w:t>
      </w:r>
    </w:p>
    <w:p>
      <w:pPr>
        <w:pStyle w:val="BlockText"/>
      </w:pPr>
      <w:r>
        <w:rPr>
          <w:b/>
          <w:bCs/>
        </w:rPr>
        <w:t xml:space="preserve">Sua avaliação é anônima.</w:t>
      </w:r>
      <w:r>
        <w:t xml:space="preserve"> </w:t>
      </w:r>
      <w:r>
        <w:t xml:space="preserve">Não coletamos CPF, e-mail, telefone ou nome. Sua nota e seu comentário são usados para melhorar este serviço. Você pode não avaliar, sem prejuízo ao atendimento.</w:t>
      </w:r>
    </w:p>
    <w:p>
      <w:pPr>
        <w:pStyle w:val="BlockText"/>
      </w:pPr>
      <w:r>
        <w:t xml:space="preserve">Base legal: Lei nº 13.709/2018 (LGPD), art. 7º, III e art. 11, II,</w:t>
      </w:r>
      <w:r>
        <w:t xml:space="preserve"> </w:t>
      </w:r>
      <w:r>
        <w:t xml:space="preserve">“b”</w:t>
      </w:r>
      <w:r>
        <w:t xml:space="preserve"> </w:t>
      </w:r>
      <w:r>
        <w:t xml:space="preserve">— execução de política pública prevista na Lei nº 13.460/2017.</w:t>
      </w:r>
    </w:p>
    <w:p>
      <w:pPr>
        <w:pStyle w:val="FirstParagraph"/>
      </w:pPr>
      <w:r>
        <w:t xml:space="preserve">O aviso precisa refletir a composição vigente do formulário: incluir um campo novo implica revisar este texto.</w:t>
      </w:r>
    </w:p>
    <w:bookmarkEnd w:id="20"/>
    <w:bookmarkEnd w:id="21"/>
    <w:bookmarkStart w:id="25" w:name="escopo-2-apresentação-da-nota"/>
    <w:p>
      <w:pPr>
        <w:pStyle w:val="Heading2"/>
      </w:pPr>
      <w:r>
        <w:t xml:space="preserve">4. Escopo 2 — Apresentação da nota</w:t>
      </w:r>
    </w:p>
    <w:bookmarkStart w:id="22" w:name="onde-aparece"/>
    <w:p>
      <w:pPr>
        <w:pStyle w:val="Heading3"/>
      </w:pPr>
      <w:r>
        <w:t xml:space="preserve">4.1. Onde aparece</w:t>
      </w:r>
    </w:p>
    <w:p>
      <w:pPr>
        <w:pStyle w:val="FirstParagraph"/>
      </w:pPr>
      <w:r>
        <w:t xml:space="preserve">Na página pública do serviço, no cabeçalho, no espaço já previsto como</w:t>
      </w:r>
      <w:r>
        <w:t xml:space="preserve"> </w:t>
      </w:r>
      <w:r>
        <w:t xml:space="preserve">“avaliação”</w:t>
      </w:r>
      <w:r>
        <w:t xml:space="preserve"> </w:t>
      </w:r>
      <w:r>
        <w:t xml:space="preserve">na especificação da carta de serviço (</w:t>
      </w:r>
      <w:r>
        <w:rPr>
          <w:i/>
          <w:iCs/>
        </w:rPr>
        <w:t xml:space="preserve">Carta de Serviço — TO BE v5</w:t>
      </w:r>
      <w:r>
        <w:t xml:space="preserve">, §6.1).</w:t>
      </w:r>
    </w:p>
    <w:bookmarkEnd w:id="22"/>
    <w:bookmarkStart w:id="23" w:name="o-que-aparece"/>
    <w:p>
      <w:pPr>
        <w:pStyle w:val="Heading3"/>
      </w:pPr>
      <w:r>
        <w:t xml:space="preserve">4.2. O que aparece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414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média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★ 4,3</w:t>
            </w:r>
            <w:r>
              <w:t xml:space="preserve"> </w:t>
            </w:r>
            <w:r>
              <w:t xml:space="preserve">— uma casa decimal, arredondamento padrão</w:t>
            </w:r>
          </w:p>
        </w:tc>
        <w:tc>
          <w:tcPr/>
          <w:p>
            <w:pPr>
              <w:pStyle w:val="Compact"/>
            </w:pPr>
            <w:r>
              <w:t xml:space="preserve">N ≥ 10 no 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Contagem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(1.247 avaliações)</w:t>
            </w:r>
          </w:p>
        </w:tc>
        <w:tc>
          <w:tcPr/>
          <w:p>
            <w:pPr>
              <w:pStyle w:val="Compact"/>
            </w:pPr>
            <w:r>
              <w:t xml:space="preserve">N ≥ 10 no 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Distribuição em barras</w:t>
            </w:r>
          </w:p>
        </w:tc>
        <w:tc>
          <w:tcPr/>
          <w:p>
            <w:pPr>
              <w:pStyle w:val="Compact"/>
            </w:pPr>
            <w:r>
              <w:t xml:space="preserve">% em cada uma das 5 notas</w:t>
            </w:r>
          </w:p>
        </w:tc>
        <w:tc>
          <w:tcPr/>
          <w:p>
            <w:pPr>
              <w:pStyle w:val="Compact"/>
            </w:pPr>
            <w:r>
              <w:t xml:space="preserve">Opcional, expansível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amostra insuficiente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  <w:r>
              <w:t xml:space="preserve"> </w:t>
            </w:r>
            <w:r>
              <w:rPr>
                <w:i/>
                <w:iCs/>
              </w:rPr>
              <w:t xml:space="preserve">“Amostra ainda insuficiente para exibir a nota”</w:t>
            </w:r>
          </w:p>
        </w:tc>
        <w:tc>
          <w:tcPr/>
          <w:p>
            <w:pPr>
              <w:pStyle w:val="Compact"/>
            </w:pPr>
            <w:r>
              <w:t xml:space="preserve">N &lt; 10 no período</w:t>
            </w:r>
          </w:p>
        </w:tc>
      </w:tr>
    </w:tbl>
    <w:bookmarkEnd w:id="23"/>
    <w:bookmarkStart w:id="24" w:name="regras-de-negócio-1"/>
    <w:p>
      <w:pPr>
        <w:pStyle w:val="Heading3"/>
      </w:pPr>
      <w:r>
        <w:t xml:space="preserve">4.3. Regras de negócio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Corte mínimo de amostra.</w:t>
      </w:r>
      <w:r>
        <w:t xml:space="preserve"> </w:t>
      </w:r>
      <w:r>
        <w:t xml:space="preserve">Nota específica só é publicada com no mínimo</w:t>
      </w:r>
      <w:r>
        <w:t xml:space="preserve"> </w:t>
      </w:r>
      <w:r>
        <w:rPr>
          <w:b/>
          <w:bCs/>
        </w:rPr>
        <w:t xml:space="preserve">10 avaliações</w:t>
      </w:r>
      <w:r>
        <w:t xml:space="preserve"> </w:t>
      </w:r>
      <w:r>
        <w:t xml:space="preserve">no período. Abaixo disso, exibir o estado de amostra insuficiente — protege contra ranking injusto e contra reidentificação em serviço de baixo volume.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Somente agregado.</w:t>
      </w:r>
      <w:r>
        <w:t xml:space="preserve"> </w:t>
      </w:r>
      <w:r>
        <w:t xml:space="preserve">Nota individual, comentário individual e qualquer registro bruto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aparecem na área pública.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Atualização.</w:t>
      </w:r>
      <w:r>
        <w:t xml:space="preserve"> </w:t>
      </w:r>
      <w:r>
        <w:t xml:space="preserve">Nota média recalculada em tempo real, servida com cache curto. Latência aceitável de alguns minutos entre o envio e a atualização pública.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Fórmulas publicadas:</w:t>
      </w:r>
    </w:p>
    <w:p>
      <w:pPr>
        <w:pStyle w:val="Compact"/>
        <w:numPr>
          <w:ilvl w:val="1"/>
          <w:numId w:val="1005"/>
        </w:numPr>
      </w:pPr>
      <w:r>
        <w:t xml:space="preserve">Nota média = Σ(nota × frequência) ÷ N</w:t>
      </w:r>
    </w:p>
    <w:p>
      <w:pPr>
        <w:pStyle w:val="Compact"/>
        <w:numPr>
          <w:ilvl w:val="1"/>
          <w:numId w:val="1005"/>
        </w:numPr>
      </w:pPr>
      <w:r>
        <w:t xml:space="preserve">% Satisfeitos (top-2-box) = (n₄ + n₅) ÷ N × 100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 edição.</w:t>
      </w:r>
      <w:r>
        <w:t xml:space="preserve"> </w:t>
      </w:r>
      <w:r>
        <w:t xml:space="preserve">O órgão não pode ocultar, editar, reordenar ou suprimir a própria nota.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Só o núcleo é publicado.</w:t>
      </w:r>
      <w:r>
        <w:t xml:space="preserve"> </w:t>
      </w:r>
      <w:r>
        <w:t xml:space="preserve">Campos adicionados via parametrização (Seção 3.7) alimentam painéis internos. Publicá-los na área pública exige decisão explícita.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copo-3-triagem-do-comentário-aberto"/>
    <w:p>
      <w:pPr>
        <w:pStyle w:val="Heading2"/>
      </w:pPr>
      <w:r>
        <w:t xml:space="preserve">5. Escopo 3 — Triagem do comentário aberto</w:t>
      </w:r>
    </w:p>
    <w:p>
      <w:pPr>
        <w:pStyle w:val="FirstParagraph"/>
      </w:pPr>
      <w:r>
        <w:t xml:space="preserve">O comentário aberto é o único campo em que o cidadão pode, por iniciativa própria, escrever um dado que o identifique (nome, CPF, telefone, número de protocolo). Por isso passa por triagem antes de qualquer uso.</w:t>
      </w:r>
    </w:p>
    <w:bookmarkStart w:id="26" w:name="estados-do-comentário"/>
    <w:p>
      <w:pPr>
        <w:pStyle w:val="Heading3"/>
      </w:pPr>
      <w:r>
        <w:t xml:space="preserve">5.1. Estados do comentário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8"/>
        <w:gridCol w:w="4141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Quem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Gravado, aguardando triagem. Não visível nos painéis de gestão.</w:t>
            </w:r>
          </w:p>
        </w:tc>
        <w:tc>
          <w:tcPr/>
          <w:p>
            <w:pPr>
              <w:pStyle w:val="Compact"/>
            </w:pPr>
            <w:r>
              <w:t xml:space="preserve">Sistema, no envio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Triado</w:t>
            </w:r>
          </w:p>
        </w:tc>
        <w:tc>
          <w:tcPr/>
          <w:p>
            <w:pPr>
              <w:pStyle w:val="Compact"/>
            </w:pPr>
            <w:r>
              <w:t xml:space="preserve">Revisado, sem dado identificável, liberado para os painéis.</w:t>
            </w:r>
          </w:p>
        </w:tc>
        <w:tc>
          <w:tcPr/>
          <w:p>
            <w:pPr>
              <w:pStyle w:val="Compact"/>
            </w:pPr>
            <w:r>
              <w:t xml:space="preserve">Área de triagem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Suprimido parcialmente</w:t>
            </w:r>
          </w:p>
        </w:tc>
        <w:tc>
          <w:tcPr/>
          <w:p>
            <w:pPr>
              <w:pStyle w:val="Compact"/>
            </w:pPr>
            <w:r>
              <w:t xml:space="preserve">Dado identificável substituído por</w:t>
            </w:r>
            <w:r>
              <w:t xml:space="preserve"> </w:t>
            </w:r>
            <w:r>
              <w:rPr>
                <w:rStyle w:val="VerbatimChar"/>
              </w:rPr>
              <w:t xml:space="preserve">[dado suprimido]</w:t>
            </w:r>
            <w:r>
              <w:t xml:space="preserve">. Liberado para os painéis.</w:t>
            </w:r>
          </w:p>
        </w:tc>
        <w:tc>
          <w:tcPr/>
          <w:p>
            <w:pPr>
              <w:pStyle w:val="Compact"/>
            </w:pPr>
            <w:r>
              <w:t xml:space="preserve">Área de triagem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Contém indício de fraude, ilegalidade ou discriminação. Gera alerta imediato.</w:t>
            </w:r>
          </w:p>
        </w:tc>
        <w:tc>
          <w:tcPr/>
          <w:p>
            <w:pPr>
              <w:pStyle w:val="Compact"/>
            </w:pPr>
            <w:r>
              <w:t xml:space="preserve">Área de triagem, ou sistema por detecção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Descartado</w:t>
            </w:r>
          </w:p>
        </w:tc>
        <w:tc>
          <w:tcPr/>
          <w:p>
            <w:pPr>
              <w:pStyle w:val="Compact"/>
            </w:pPr>
            <w:r>
              <w:t xml:space="preserve">Sem conteúdo útil (vazio, spam, texto aleatório). Não entra nos painéis.</w:t>
            </w:r>
          </w:p>
        </w:tc>
        <w:tc>
          <w:tcPr/>
          <w:p>
            <w:pPr>
              <w:pStyle w:val="Compact"/>
            </w:pPr>
            <w:r>
              <w:t xml:space="preserve">Área de triagem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área de triagem</w:t>
      </w:r>
      <w:r>
        <w:t xml:space="preserve"> </w:t>
      </w:r>
      <w:r>
        <w:t xml:space="preserve">é a Ouvidoria estadual. A modelagem do acesso correspondente é tratada fora deste documento (</w:t>
      </w:r>
      <w:hyperlink w:anchor="Xf1929b018ae4e7a9f15e4d50b319e8be67fd8db">
        <w:r>
          <w:rPr>
            <w:rStyle w:val="Hyperlink"/>
          </w:rPr>
          <w:t xml:space="preserve">P1</w:t>
        </w:r>
      </w:hyperlink>
      <w:r>
        <w:t xml:space="preserve">).</w:t>
      </w:r>
    </w:p>
    <w:bookmarkEnd w:id="26"/>
    <w:bookmarkStart w:id="27" w:name="regras-de-negócio-2"/>
    <w:p>
      <w:pPr>
        <w:pStyle w:val="Heading3"/>
      </w:pPr>
      <w:r>
        <w:t xml:space="preserve">5.2. Regras de negócio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Nota independe de triagem.</w:t>
      </w:r>
      <w:r>
        <w:t xml:space="preserve"> </w:t>
      </w:r>
      <w:r>
        <w:t xml:space="preserve">A nota média é computada e publicada imediatamente. Só o texto do comentário fica retido até a triagem.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Cadência.</w:t>
      </w:r>
      <w:r>
        <w:t xml:space="preserve"> </w:t>
      </w:r>
      <w:r>
        <w:t xml:space="preserve">Fila de triagem processada no mínimo uma vez por semana.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Supressão, não exclusão.</w:t>
      </w:r>
      <w:r>
        <w:t xml:space="preserve"> </w:t>
      </w:r>
      <w:r>
        <w:t xml:space="preserve">Dado identificável é substituído pelo marcador</w:t>
      </w:r>
      <w:r>
        <w:t xml:space="preserve"> </w:t>
      </w:r>
      <w:r>
        <w:rPr>
          <w:rStyle w:val="VerbatimChar"/>
        </w:rPr>
        <w:t xml:space="preserve">[dado suprimido]</w:t>
      </w:r>
      <w:r>
        <w:t xml:space="preserve">. O restante do texto é preservado.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Detecção automática como apoio.</w:t>
      </w:r>
      <w:r>
        <w:t xml:space="preserve"> </w:t>
      </w:r>
      <w:r>
        <w:t xml:space="preserve">O sistema pré-sinaliza padrões de CPF, telefone e e-mail, e palavras-chave críticas (fraude, ilegal, discriminação). A pré-sinalização</w:t>
      </w:r>
      <w:r>
        <w:t xml:space="preserve"> </w:t>
      </w:r>
      <w:r>
        <w:rPr>
          <w:b/>
          <w:bCs/>
        </w:rPr>
        <w:t xml:space="preserve">sugere</w:t>
      </w:r>
      <w:r>
        <w:t xml:space="preserve">, não decide — a triagem é sempre humana.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Comentário nunca é publicado bruto.</w:t>
      </w:r>
      <w:r>
        <w:t xml:space="preserve"> </w:t>
      </w:r>
      <w:r>
        <w:t xml:space="preserve">Pode ser citado em relatório interno com trecho e serviço, jamais com identificador.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Rastreabilidade.</w:t>
      </w:r>
      <w:r>
        <w:t xml:space="preserve"> </w:t>
      </w:r>
      <w:r>
        <w:t xml:space="preserve">Toda ação de triagem registra autor, data/hora e estado anterior.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escopo-4-painéis-e-indicadores"/>
    <w:p>
      <w:pPr>
        <w:pStyle w:val="Heading2"/>
      </w:pPr>
      <w:r>
        <w:t xml:space="preserve">6. Escopo 4 — Painéis e indicadores</w:t>
      </w:r>
    </w:p>
    <w:bookmarkStart w:id="29" w:name="visões"/>
    <w:p>
      <w:pPr>
        <w:pStyle w:val="Heading3"/>
      </w:pPr>
      <w:r>
        <w:t xml:space="preserve">6.1. Visões</w:t>
      </w:r>
    </w:p>
    <w:p>
      <w:pPr>
        <w:pStyle w:val="FirstParagraph"/>
      </w:pPr>
      <w:r>
        <w:t xml:space="preserve">Quatro recortes da mesma base. A tabela indica</w:t>
      </w:r>
      <w:r>
        <w:t xml:space="preserve"> </w:t>
      </w:r>
      <w:r>
        <w:rPr>
          <w:i/>
          <w:iCs/>
        </w:rPr>
        <w:t xml:space="preserve">qual área consome</w:t>
      </w:r>
      <w:r>
        <w:t xml:space="preserve"> </w:t>
      </w:r>
      <w:r>
        <w:t xml:space="preserve">cada visão — a tradução disso em perfis e permissões é tratada fora deste documento (</w:t>
      </w:r>
      <w:hyperlink w:anchor="Xf1929b018ae4e7a9f15e4d50b319e8be67fd8db">
        <w:r>
          <w:rPr>
            <w:rStyle w:val="Hyperlink"/>
          </w:rPr>
          <w:t xml:space="preserve">P1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546"/>
        <w:gridCol w:w="58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Painel</w:t>
            </w:r>
          </w:p>
        </w:tc>
        <w:tc>
          <w:tcPr/>
          <w:p>
            <w:pPr>
              <w:pStyle w:val="Compact"/>
            </w:pPr>
            <w:r>
              <w:t xml:space="preserve">Quem consome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Cidadão</w:t>
            </w:r>
          </w:p>
        </w:tc>
        <w:tc>
          <w:tcPr/>
          <w:p>
            <w:pPr>
              <w:pStyle w:val="Compact"/>
            </w:pPr>
            <w:r>
              <w:t xml:space="preserve">Nota média, N e distribuição em barras, na página do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do serviço</w:t>
            </w:r>
          </w:p>
        </w:tc>
        <w:tc>
          <w:tcPr/>
          <w:p>
            <w:pPr>
              <w:pStyle w:val="Compact"/>
            </w:pPr>
            <w:r>
              <w:t xml:space="preserve">Órgão responsável, restrito aos próprios serviços</w:t>
            </w:r>
          </w:p>
        </w:tc>
        <w:tc>
          <w:tcPr/>
          <w:p>
            <w:pPr>
              <w:pStyle w:val="Compact"/>
            </w:pPr>
            <w:r>
              <w:t xml:space="preserve">Nota média, % satisfeitos e N do mês e do mês anterior; distribuição; ranking dos motivos; últimos 50 comentários triados com filtro por nota; série temporal de 12 meses; alertas 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Triagem</w:t>
            </w:r>
          </w:p>
        </w:tc>
        <w:tc>
          <w:tcPr/>
          <w:p>
            <w:pPr>
              <w:pStyle w:val="Compact"/>
            </w:pPr>
            <w:r>
              <w:t xml:space="preserve">Ouvidoria estadual, todos os órgãos</w:t>
            </w:r>
          </w:p>
        </w:tc>
        <w:tc>
          <w:tcPr/>
          <w:p>
            <w:pPr>
              <w:pStyle w:val="Compact"/>
            </w:pPr>
            <w:r>
              <w:t xml:space="preserve">Fila de triagem; comentários críticos; encaminhamentos abertos por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Consolidado</w:t>
            </w:r>
          </w:p>
        </w:tc>
        <w:tc>
          <w:tcPr/>
          <w:p>
            <w:pPr>
              <w:pStyle w:val="Compact"/>
            </w:pPr>
            <w:r>
              <w:t xml:space="preserve">SETDIG, todos os órgãos</w:t>
            </w:r>
          </w:p>
        </w:tc>
        <w:tc>
          <w:tcPr/>
          <w:p>
            <w:pPr>
              <w:pStyle w:val="Compact"/>
            </w:pPr>
            <w:r>
              <w:t xml:space="preserve">Ranking geral (10 melhores e 10 piores); % de serviços com meta atingida; volume total; serviços em alerta; comparativo por Secretaria</w:t>
            </w:r>
          </w:p>
        </w:tc>
      </w:tr>
    </w:tbl>
    <w:bookmarkEnd w:id="29"/>
    <w:bookmarkStart w:id="30" w:name="X66cf5b9abca3c7aa14346ddf25305f48ca66387"/>
    <w:p>
      <w:pPr>
        <w:pStyle w:val="Heading3"/>
      </w:pPr>
      <w:r>
        <w:t xml:space="preserve">6.2. Indicadores mínimos — disponíveis no go-live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"/>
        <w:gridCol w:w="2324"/>
        <w:gridCol w:w="1980"/>
        <w:gridCol w:w="3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Nota média</w:t>
            </w:r>
          </w:p>
        </w:tc>
        <w:tc>
          <w:tcPr/>
          <w:p>
            <w:pPr>
              <w:pStyle w:val="Compact"/>
            </w:pPr>
            <w:r>
              <w:t xml:space="preserve">Σ(nota) ÷ N</w:t>
            </w:r>
          </w:p>
        </w:tc>
        <w:tc>
          <w:tcPr/>
          <w:p>
            <w:pPr>
              <w:pStyle w:val="Compact"/>
            </w:pPr>
            <w:r>
              <w:t xml:space="preserve">Número público na página do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% Satisfeitos</w:t>
            </w:r>
          </w:p>
        </w:tc>
        <w:tc>
          <w:tcPr/>
          <w:p>
            <w:pPr>
              <w:pStyle w:val="Compact"/>
            </w:pPr>
            <w:r>
              <w:t xml:space="preserve">(n₄ + n₅) ÷ N × 100</w:t>
            </w:r>
          </w:p>
        </w:tc>
        <w:tc>
          <w:tcPr/>
          <w:p>
            <w:pPr>
              <w:pStyle w:val="Compact"/>
            </w:pPr>
            <w:r>
              <w:t xml:space="preserve">Leitura executiva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Distribuição das notas</w:t>
            </w:r>
          </w:p>
        </w:tc>
        <w:tc>
          <w:tcPr/>
          <w:p>
            <w:pPr>
              <w:pStyle w:val="Compact"/>
            </w:pPr>
            <w:r>
              <w:t xml:space="preserve">%n₁, %n₂, %n₃, %n₄, %n₅</w:t>
            </w:r>
          </w:p>
        </w:tc>
        <w:tc>
          <w:tcPr/>
          <w:p>
            <w:pPr>
              <w:pStyle w:val="Compact"/>
            </w:pPr>
            <w:r>
              <w:t xml:space="preserve">Diagnóstico — identifica cauda negativa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Nº de avaliações no período</w:t>
            </w:r>
          </w:p>
        </w:tc>
        <w:tc>
          <w:tcPr/>
          <w:p>
            <w:pPr>
              <w:pStyle w:val="Compact"/>
            </w:pPr>
            <w:r>
              <w:t xml:space="preserve">count()</w:t>
            </w:r>
          </w:p>
        </w:tc>
        <w:tc>
          <w:tcPr/>
          <w:p>
            <w:pPr>
              <w:pStyle w:val="Compact"/>
            </w:pPr>
            <w:r>
              <w:t xml:space="preserve">Confiabilidade da amostra</w:t>
            </w:r>
          </w:p>
        </w:tc>
      </w:tr>
    </w:tbl>
    <w:bookmarkEnd w:id="30"/>
    <w:bookmarkStart w:id="31" w:name="X0ebc8befc8aa2c857ac4d1f0098a6c7d8347a7f"/>
    <w:p>
      <w:pPr>
        <w:pStyle w:val="Heading3"/>
      </w:pPr>
      <w:r>
        <w:t xml:space="preserve">6.3. Indicadores desejáveis — a partir do 3º mês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1834"/>
        <w:gridCol w:w="3668"/>
        <w:gridCol w:w="21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Taxa de resposta</w:t>
            </w:r>
          </w:p>
        </w:tc>
        <w:tc>
          <w:tcPr/>
          <w:p>
            <w:pPr>
              <w:pStyle w:val="Compact"/>
            </w:pPr>
            <w:r>
              <w:t xml:space="preserve">avaliações ÷ conclusões de serviço × 100</w:t>
            </w:r>
          </w:p>
        </w:tc>
        <w:tc>
          <w:tcPr/>
          <w:p>
            <w:pPr>
              <w:pStyle w:val="Compact"/>
            </w:pPr>
            <w:r>
              <w:t xml:space="preserve">Saúde do instrumento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Top motivos positivos</w:t>
            </w:r>
          </w:p>
        </w:tc>
        <w:tc>
          <w:tcPr/>
          <w:p>
            <w:pPr>
              <w:pStyle w:val="Compact"/>
            </w:pPr>
            <w:r>
              <w:t xml:space="preserve">ranking dos cards entre notas 4 e 5</w:t>
            </w:r>
          </w:p>
        </w:tc>
        <w:tc>
          <w:tcPr/>
          <w:p>
            <w:pPr>
              <w:pStyle w:val="Compact"/>
            </w:pPr>
            <w:r>
              <w:t xml:space="preserve">O que preservar no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Ranking de serviços</w:t>
            </w:r>
          </w:p>
        </w:tc>
        <w:tc>
          <w:tcPr/>
          <w:p>
            <w:pPr>
              <w:pStyle w:val="Compact"/>
            </w:pPr>
            <w:r>
              <w:t xml:space="preserve">ordenação por nota média, com N mínimo de 30</w:t>
            </w:r>
          </w:p>
        </w:tc>
        <w:tc>
          <w:tcPr/>
          <w:p>
            <w:pPr>
              <w:pStyle w:val="Compact"/>
            </w:pPr>
            <w:r>
              <w:t xml:space="preserve">Priorização de melhoria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Variação mensal</w:t>
            </w:r>
          </w:p>
        </w:tc>
        <w:tc>
          <w:tcPr/>
          <w:p>
            <w:pPr>
              <w:pStyle w:val="Compact"/>
            </w:pPr>
            <w:r>
              <w:t xml:space="preserve">média do mês − média do mês anterior</w:t>
            </w:r>
          </w:p>
        </w:tc>
        <w:tc>
          <w:tcPr/>
          <w:p>
            <w:pPr>
              <w:pStyle w:val="Compact"/>
            </w:pPr>
            <w:r>
              <w:t xml:space="preserve">Alerta de queda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% de avaliações de PcD</w:t>
            </w:r>
          </w:p>
        </w:tc>
        <w:tc>
          <w:tcPr/>
          <w:p>
            <w:pPr>
              <w:pStyle w:val="Compact"/>
            </w:pPr>
            <w:r>
              <w:t xml:space="preserve">n_pcd ÷ N × 100</w:t>
            </w:r>
          </w:p>
        </w:tc>
        <w:tc>
          <w:tcPr/>
          <w:p>
            <w:pPr>
              <w:pStyle w:val="Compact"/>
            </w:pPr>
            <w:r>
              <w:t xml:space="preserve">Recorte de acessibilidade</w:t>
            </w:r>
          </w:p>
        </w:tc>
      </w:tr>
    </w:tbl>
    <w:bookmarkEnd w:id="31"/>
    <w:bookmarkStart w:id="32" w:name="indicadores-para-o-contrato-de-gestão"/>
    <w:p>
      <w:pPr>
        <w:pStyle w:val="Heading3"/>
      </w:pPr>
      <w:r>
        <w:t xml:space="preserve">6.4. Indicadores para o contrato de gestão</w:t>
      </w:r>
    </w:p>
    <w:p>
      <w:pPr>
        <w:pStyle w:val="FirstParagraph"/>
      </w:pPr>
      <w:r>
        <w:rPr>
          <w:b/>
          <w:bCs/>
        </w:rPr>
        <w:t xml:space="preserve">Proposta a pactuar.</w:t>
      </w:r>
      <w:r>
        <w:t xml:space="preserve"> </w:t>
      </w:r>
      <w:r>
        <w:t xml:space="preserve">Os valores abaixo são recomendação do estudo e ainda não foram formalizados com as áreas responsáveis pelo contrato de gestão do Governo do Estado — ver</w:t>
      </w:r>
      <w:r>
        <w:t xml:space="preserve"> </w:t>
      </w:r>
      <w:hyperlink w:anchor="Xf1929b018ae4e7a9f15e4d50b319e8be67fd8db">
        <w:r>
          <w:rPr>
            <w:rStyle w:val="Hyperlink"/>
          </w:rPr>
          <w:t xml:space="preserve">Pendência P7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"/>
        <w:gridCol w:w="2949"/>
        <w:gridCol w:w="1474"/>
        <w:gridCol w:w="33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 proposto</w:t>
            </w:r>
          </w:p>
        </w:tc>
        <w:tc>
          <w:tcPr/>
          <w:p>
            <w:pPr>
              <w:pStyle w:val="Compact"/>
            </w:pPr>
            <w:r>
              <w:t xml:space="preserve">Meta orientativa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CG1</w:t>
            </w:r>
          </w:p>
        </w:tc>
        <w:tc>
          <w:tcPr/>
          <w:p>
            <w:pPr>
              <w:pStyle w:val="Compact"/>
            </w:pPr>
            <w:r>
              <w:t xml:space="preserve">Nota média dos serviços do Portal</w:t>
            </w:r>
          </w:p>
        </w:tc>
        <w:tc>
          <w:tcPr/>
          <w:p>
            <w:pPr>
              <w:pStyle w:val="Compact"/>
            </w:pPr>
            <w:r>
              <w:t xml:space="preserve">≥ 4,0 de 5</w:t>
            </w:r>
          </w:p>
        </w:tc>
        <w:tc>
          <w:tcPr/>
          <w:p>
            <w:pPr>
              <w:pStyle w:val="Compact"/>
            </w:pPr>
            <w:r>
              <w:t xml:space="preserve">gov.br publicou média 4,39/5 sobre 1.047 serviços em ago/2026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CG2</w:t>
            </w:r>
          </w:p>
        </w:tc>
        <w:tc>
          <w:tcPr/>
          <w:p>
            <w:pPr>
              <w:pStyle w:val="Compact"/>
            </w:pPr>
            <w:r>
              <w:t xml:space="preserve">% de Satisfeitos (notas 4 e 5)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Padrão CSAT de 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CG3</w:t>
            </w:r>
          </w:p>
        </w:tc>
        <w:tc>
          <w:tcPr/>
          <w:p>
            <w:pPr>
              <w:pStyle w:val="Compact"/>
            </w:pPr>
            <w:r>
              <w:t xml:space="preserve">% de serviços com avaliação ativa</w:t>
            </w:r>
          </w:p>
        </w:tc>
        <w:tc>
          <w:tcPr/>
          <w:p>
            <w:pPr>
              <w:pStyle w:val="Compact"/>
            </w:pPr>
            <w:r>
              <w:t xml:space="preserve">≥ 80% do catálogo publicado</w:t>
            </w:r>
          </w:p>
        </w:tc>
        <w:tc>
          <w:tcPr/>
          <w:p>
            <w:pPr>
              <w:pStyle w:val="Compact"/>
            </w:pPr>
            <w:r>
              <w:t xml:space="preserve">Cobertura do instrumento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CG4</w:t>
            </w:r>
          </w:p>
        </w:tc>
        <w:tc>
          <w:tcPr/>
          <w:p>
            <w:pPr>
              <w:pStyle w:val="Compact"/>
            </w:pPr>
            <w:r>
              <w:t xml:space="preserve">% de serviços com amostra válida (N ≥ 10 no trimestre)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t xml:space="preserve">Confiabilidade da medição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CG5</w:t>
            </w:r>
          </w:p>
        </w:tc>
        <w:tc>
          <w:tcPr/>
          <w:p>
            <w:pPr>
              <w:pStyle w:val="Compact"/>
            </w:pPr>
            <w:r>
              <w:t xml:space="preserve">% de serviços em alerta tratados no trimestre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Fechamento do ciclo de melhoria</w:t>
            </w:r>
          </w:p>
        </w:tc>
      </w:tr>
    </w:tbl>
    <w:p>
      <w:pPr>
        <w:pStyle w:val="BodyText"/>
      </w:pPr>
      <w:r>
        <w:rPr>
          <w:b/>
          <w:bCs/>
        </w:rPr>
        <w:t xml:space="preserve">Duas regras que sustentam estes indicadores:</w:t>
      </w:r>
    </w:p>
    <w:p>
      <w:pPr>
        <w:pStyle w:val="Compact"/>
        <w:numPr>
          <w:ilvl w:val="0"/>
          <w:numId w:val="1007"/>
        </w:numPr>
      </w:pPr>
      <w:r>
        <w:t xml:space="preserve">Todo indicador de contrato de gestão precisa ser calculável a partir dos campos das Seções 3.3 e 3.4. Nenhum exige coleta adicional.</w:t>
      </w:r>
    </w:p>
    <w:p>
      <w:pPr>
        <w:pStyle w:val="Compact"/>
        <w:numPr>
          <w:ilvl w:val="0"/>
          <w:numId w:val="1007"/>
        </w:numPr>
      </w:pPr>
      <w:r>
        <w:t xml:space="preserve">Indicador pactuado</w:t>
      </w:r>
      <w:r>
        <w:t xml:space="preserve"> </w:t>
      </w:r>
      <w:r>
        <w:rPr>
          <w:b/>
          <w:bCs/>
        </w:rPr>
        <w:t xml:space="preserve">não pode depender de campo parametrizável</w:t>
      </w:r>
      <w:r>
        <w:t xml:space="preserve">. Campo novo pode gerar indicador novo; não pode alterar a base de cálculo de um indicador já pactuado no meio de um ciclo.</w:t>
      </w:r>
    </w:p>
    <w:bookmarkEnd w:id="32"/>
    <w:bookmarkStart w:id="33" w:name="cadência"/>
    <w:p>
      <w:pPr>
        <w:pStyle w:val="Heading3"/>
      </w:pPr>
      <w:r>
        <w:t xml:space="preserve">6.5. Cadência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7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Ritmo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real</w:t>
            </w:r>
          </w:p>
        </w:tc>
        <w:tc>
          <w:tcPr/>
          <w:p>
            <w:pPr>
              <w:pStyle w:val="Compact"/>
            </w:pPr>
            <w:r>
              <w:t xml:space="preserve">Coleta e recálculo da nota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Triagem da fila de comentários; relatório automático ao órgão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Reunião de qualidade por órgão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Revisão do ranking geral pela SETDIG; apuração dos indicadores de contrato de gestão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Publicação da série histórica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notificações-e-alertas"/>
    <w:p>
      <w:pPr>
        <w:pStyle w:val="Heading2"/>
      </w:pPr>
      <w:r>
        <w:t xml:space="preserve">7. Notificações e alertas</w:t>
      </w:r>
    </w:p>
    <w:p>
      <w:pPr>
        <w:pStyle w:val="FirstParagraph"/>
      </w:pPr>
      <w:r>
        <w:t xml:space="preserve">Reaproveitam o painel de notificações do Portal Único (ícone de sino, badge de não lidas), já especificado em</w:t>
      </w:r>
      <w:r>
        <w:t xml:space="preserve"> </w:t>
      </w:r>
      <w:r>
        <w:rPr>
          <w:i/>
          <w:iCs/>
        </w:rPr>
        <w:t xml:space="preserve">Carta de Serviço — TO BE v5</w:t>
      </w:r>
      <w:r>
        <w:t xml:space="preserve">, §7.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257"/>
        <w:gridCol w:w="3524"/>
        <w:gridCol w:w="10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Mensagem exibida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Queda súbita de nota</w:t>
            </w:r>
          </w:p>
        </w:tc>
        <w:tc>
          <w:tcPr/>
          <w:p>
            <w:pPr>
              <w:pStyle w:val="Compact"/>
            </w:pPr>
            <w:r>
              <w:t xml:space="preserve">Média mensal cai 0,5 ou mais em relação ao mês anterior</w:t>
            </w:r>
          </w:p>
        </w:tc>
        <w:tc>
          <w:tcPr/>
          <w:p>
            <w:pPr>
              <w:pStyle w:val="Compact"/>
            </w:pPr>
            <w:r>
              <w:t xml:space="preserve">“A nota do serviço {Nome do serviço} caiu de {X} para {Y} neste mês.”</w:t>
            </w:r>
          </w:p>
        </w:tc>
        <w:tc>
          <w:tcPr/>
          <w:p>
            <w:pPr>
              <w:pStyle w:val="Compact"/>
            </w:pPr>
            <w:r>
              <w:t xml:space="preserve">Órgão 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baixa recorrente</w:t>
            </w:r>
          </w:p>
        </w:tc>
        <w:tc>
          <w:tcPr/>
          <w:p>
            <w:pPr>
              <w:pStyle w:val="Compact"/>
            </w:pPr>
            <w:r>
              <w:t xml:space="preserve">Média abaixo de 3,0 por 2 meses seguidos</w:t>
            </w:r>
          </w:p>
        </w:tc>
        <w:tc>
          <w:tcPr/>
          <w:p>
            <w:pPr>
              <w:pStyle w:val="Compact"/>
            </w:pPr>
            <w:r>
              <w:t xml:space="preserve">“O serviço {Nome do serviço} está com nota abaixo de 3,0 há 2 meses.”</w:t>
            </w:r>
          </w:p>
        </w:tc>
        <w:tc>
          <w:tcPr/>
          <w:p>
            <w:pPr>
              <w:pStyle w:val="Compact"/>
            </w:pPr>
            <w:r>
              <w:t xml:space="preserve">Órgão responsável e SETDIG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anômalo</w:t>
            </w:r>
          </w:p>
        </w:tc>
        <w:tc>
          <w:tcPr/>
          <w:p>
            <w:pPr>
              <w:pStyle w:val="Compact"/>
            </w:pPr>
            <w:r>
              <w:t xml:space="preserve">N mensal varia mais de 3× em relação à média móvel</w:t>
            </w:r>
          </w:p>
        </w:tc>
        <w:tc>
          <w:tcPr/>
          <w:p>
            <w:pPr>
              <w:pStyle w:val="Compact"/>
            </w:pPr>
            <w:r>
              <w:t xml:space="preserve">“O volume de avaliações do serviço {Nome do serviço} variou de forma atípica neste mês.”</w:t>
            </w:r>
          </w:p>
        </w:tc>
        <w:tc>
          <w:tcPr/>
          <w:p>
            <w:pPr>
              <w:pStyle w:val="Compact"/>
            </w:pPr>
            <w:r>
              <w:t xml:space="preserve">SETDIG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Comentário crítico</w:t>
            </w:r>
          </w:p>
        </w:tc>
        <w:tc>
          <w:tcPr/>
          <w:p>
            <w:pPr>
              <w:pStyle w:val="Compact"/>
            </w:pPr>
            <w:r>
              <w:t xml:space="preserve">Detecção de palavra-chave crítica no comentário aberto</w:t>
            </w:r>
          </w:p>
        </w:tc>
        <w:tc>
          <w:tcPr/>
          <w:p>
            <w:pPr>
              <w:pStyle w:val="Compact"/>
            </w:pPr>
            <w:r>
              <w:t xml:space="preserve">“Um comentário do serviço {Nome do serviço} precisa de análise imediata.”</w:t>
            </w:r>
          </w:p>
        </w:tc>
        <w:tc>
          <w:tcPr/>
          <w:p>
            <w:pPr>
              <w:pStyle w:val="Compact"/>
            </w:pPr>
            <w:r>
              <w:t xml:space="preserve">Ouvidoria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de triagem acumulada</w:t>
            </w:r>
          </w:p>
        </w:tc>
        <w:tc>
          <w:tcPr/>
          <w:p>
            <w:pPr>
              <w:pStyle w:val="Compact"/>
            </w:pPr>
            <w:r>
              <w:t xml:space="preserve">Mais de 50 comentários no estado</w:t>
            </w:r>
            <w:r>
              <w:t xml:space="preserve"> </w:t>
            </w:r>
            <w:r>
              <w:t xml:space="preserve">“Novo”</w:t>
            </w:r>
            <w:r>
              <w:t xml:space="preserve"> </w:t>
            </w:r>
            <w:r>
              <w:t xml:space="preserve">há mais de 7 dias</w:t>
            </w:r>
          </w:p>
        </w:tc>
        <w:tc>
          <w:tcPr/>
          <w:p>
            <w:pPr>
              <w:pStyle w:val="Compact"/>
            </w:pPr>
            <w:r>
              <w:t xml:space="preserve">“Há {N} comentários aguardando triagem.”</w:t>
            </w:r>
          </w:p>
        </w:tc>
        <w:tc>
          <w:tcPr/>
          <w:p>
            <w:pPr>
              <w:pStyle w:val="Compact"/>
            </w:pPr>
            <w:r>
              <w:t xml:space="preserve">Ouvidoria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trimestral não atingida</w:t>
            </w:r>
          </w:p>
        </w:tc>
        <w:tc>
          <w:tcPr/>
          <w:p>
            <w:pPr>
              <w:pStyle w:val="Compact"/>
            </w:pPr>
            <w:r>
              <w:t xml:space="preserve">CG1 ou CG2 abaixo da meta no fechamento do trimestre</w:t>
            </w:r>
          </w:p>
        </w:tc>
        <w:tc>
          <w:tcPr/>
          <w:p>
            <w:pPr>
              <w:pStyle w:val="Compact"/>
            </w:pPr>
            <w:r>
              <w:t xml:space="preserve">“O serviço {Nome do serviço} fechou o trimestre abaixo da meta.”</w:t>
            </w:r>
          </w:p>
        </w:tc>
        <w:tc>
          <w:tcPr/>
          <w:p>
            <w:pPr>
              <w:pStyle w:val="Compact"/>
            </w:pPr>
            <w:r>
              <w:t xml:space="preserve">Órgão responsável e SETDIG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do formulário</w:t>
            </w:r>
          </w:p>
        </w:tc>
        <w:tc>
          <w:tcPr/>
          <w:p>
            <w:pPr>
              <w:pStyle w:val="Compact"/>
            </w:pPr>
            <w:r>
              <w:t xml:space="preserve">Publicação de nova</w:t>
            </w:r>
            <w:r>
              <w:t xml:space="preserve"> </w:t>
            </w:r>
            <w:r>
              <w:rPr>
                <w:rStyle w:val="VerbatimChar"/>
              </w:rPr>
              <w:t xml:space="preserve">versao_formulario</w:t>
            </w:r>
          </w:p>
        </w:tc>
        <w:tc>
          <w:tcPr/>
          <w:p>
            <w:pPr>
              <w:pStyle w:val="Compact"/>
            </w:pPr>
            <w:r>
              <w:t xml:space="preserve">“O formulário de avaliação foi alterado. Séries anteriores a {data} usam a versão {N−1}.”</w:t>
            </w:r>
          </w:p>
        </w:tc>
        <w:tc>
          <w:tcPr/>
          <w:p>
            <w:pPr>
              <w:pStyle w:val="Compact"/>
            </w:pPr>
            <w:r>
              <w:t xml:space="preserve">Órgão responsável e SETDIG</w:t>
            </w:r>
          </w:p>
        </w:tc>
      </w:tr>
    </w:tbl>
    <w:p>
      <w:pPr>
        <w:pStyle w:val="BodyText"/>
      </w:pPr>
      <w:r>
        <w:t xml:space="preserve">Toda notificação registra data e hora do evento e segue a regra do Portal: e-mail enviado pela plataforma também chega como notificação.</w:t>
      </w:r>
    </w:p>
    <w:p>
      <w:r>
        <w:pict>
          <v:rect style="width:0;height:1.5pt" o:hralign="center" o:hrstd="t" o:hr="t"/>
        </w:pict>
      </w:r>
    </w:p>
    <w:bookmarkEnd w:id="35"/>
    <w:bookmarkStart w:id="36" w:name="pendências"/>
    <w:p>
      <w:pPr>
        <w:pStyle w:val="Heading2"/>
      </w:pPr>
      <w:r>
        <w:t xml:space="preserve">8. Pendências</w:t>
      </w:r>
    </w:p>
    <w:p>
      <w:pPr>
        <w:pStyle w:val="FirstParagraph"/>
      </w:pPr>
      <w:r>
        <w:t xml:space="preserve">Registradas conforme o Passo 6 da</w:t>
      </w:r>
      <w:r>
        <w:t xml:space="preserve"> </w:t>
      </w:r>
      <w:r>
        <w:rPr>
          <w:i/>
          <w:iCs/>
        </w:rPr>
        <w:t xml:space="preserve">Instrução — Como Criar um Pacote de Documentação TO BE</w:t>
      </w:r>
      <w:r>
        <w:t xml:space="preserve">. Nenhuma foi resolvida por suposição.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"/>
        <w:gridCol w:w="7395"/>
        <w:gridCol w:w="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Pendência</w:t>
            </w:r>
          </w:p>
        </w:tc>
        <w:tc>
          <w:tcPr/>
          <w:p>
            <w:pPr>
              <w:pStyle w:val="Compact"/>
            </w:pPr>
            <w:r>
              <w:t xml:space="preserve">Responsável por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Perfis e controle de acesso.</w:t>
            </w:r>
            <w:r>
              <w:t xml:space="preserve"> </w:t>
            </w:r>
            <w:r>
              <w:t xml:space="preserve">Este documento indica qual área consome cada informação, mas não modela perfis nem matriz de permissões. A definição será feita em etapa própria, alinhada ao controle de acesso já existente no Portal Único.</w:t>
            </w:r>
          </w:p>
        </w:tc>
        <w:tc>
          <w:tcPr/>
          <w:p>
            <w:pPr>
              <w:pStyle w:val="Compact"/>
            </w:pPr>
            <w:r>
              <w:t xml:space="preserve">SGD + Xvia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 da parametrização de campos.</w:t>
            </w:r>
            <w:r>
              <w:t xml:space="preserve"> </w:t>
            </w:r>
            <w:r>
              <w:t xml:space="preserve">Definir se a composição do formulário é configurada de forma global, por órgão ou por serviço; quem tem competência para alterar; e se há aprovação prévia antes de publicar nova versão.</w:t>
            </w:r>
          </w:p>
        </w:tc>
        <w:tc>
          <w:tcPr/>
          <w:p>
            <w:pPr>
              <w:pStyle w:val="Compact"/>
            </w:pPr>
            <w:r>
              <w:t xml:space="preserve">SGD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de tela.</w:t>
            </w:r>
            <w:r>
              <w:t xml:space="preserve"> </w:t>
            </w:r>
            <w:r>
              <w:t xml:space="preserve">Não há protótipo de alta fidelidade da avaliação de serviço. Este documento entrega campos, comportamento e referência visual (Seção 9); o desenho será produzido pelo time de UX da Xvia e anexado na próxima versão.</w:t>
            </w:r>
          </w:p>
        </w:tc>
        <w:tc>
          <w:tcPr/>
          <w:p>
            <w:pPr>
              <w:pStyle w:val="Compact"/>
            </w:pPr>
            <w:r>
              <w:t xml:space="preserve">UX Xvia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Divergência de retenção no estudo de origem.</w:t>
            </w:r>
            <w:r>
              <w:t xml:space="preserve"> </w:t>
            </w:r>
            <w:r>
              <w:t xml:space="preserve">O estudo apresenta dois cortes distintos — 24 meses com IP truncado, e 5 anos sem coleta de IP. Este documento adotou a versão mais restritiva (24 meses, zero coleta de IP, deduplicação por hash de sessão). Precisa de confirmação formal.</w:t>
            </w:r>
          </w:p>
        </w:tc>
        <w:tc>
          <w:tcPr/>
          <w:p>
            <w:pPr>
              <w:pStyle w:val="Compact"/>
            </w:pPr>
            <w:r>
              <w:t xml:space="preserve">Encarregado (DPO) + SGD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Coexistência com o instrumento atual.</w:t>
            </w:r>
            <w:r>
              <w:t xml:space="preserve"> </w:t>
            </w:r>
            <w:r>
              <w:t xml:space="preserve">O Portal já opera a avaliação da carta de serviço (</w:t>
            </w:r>
            <w:r>
              <w:t xml:space="preserve">“Esta informação foi útil? Sim/Não”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“Reportar erro”</w:t>
            </w:r>
            <w:r>
              <w:t xml:space="preserve">). São instrumentos distintos: um avalia a</w:t>
            </w:r>
            <w:r>
              <w:t xml:space="preserve"> </w:t>
            </w:r>
            <w:r>
              <w:rPr>
                <w:b/>
                <w:bCs/>
              </w:rPr>
              <w:t xml:space="preserve">informação publicada</w:t>
            </w:r>
            <w:r>
              <w:t xml:space="preserve">, o outro avalia o</w:t>
            </w:r>
            <w:r>
              <w:t xml:space="preserve"> </w:t>
            </w:r>
            <w:r>
              <w:rPr>
                <w:b/>
                <w:bCs/>
              </w:rPr>
              <w:t xml:space="preserve">serviço prestado</w:t>
            </w:r>
            <w:r>
              <w:t xml:space="preserve">. Precisam conviver na mesma página sem confundir o cidadão nem competir por atenção. Definir posicionamento e hierarquia visual.</w:t>
            </w:r>
          </w:p>
        </w:tc>
        <w:tc>
          <w:tcPr/>
          <w:p>
            <w:pPr>
              <w:pStyle w:val="Compact"/>
            </w:pPr>
            <w:r>
              <w:t xml:space="preserve">UX Xvia + SGD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 de disparo em serviço externo.</w:t>
            </w:r>
            <w:r>
              <w:t xml:space="preserve"> </w:t>
            </w:r>
            <w:r>
              <w:t xml:space="preserve">Quando o serviço redireciona para link externo ou roda em iframe (X-Form, X-Flow, sistema de terceiro), o Portal não observa a conclusão da jornada e não sabe quando convidar. Definir a estratégia por tipo de integração.</w:t>
            </w:r>
          </w:p>
        </w:tc>
        <w:tc>
          <w:tcPr/>
          <w:p>
            <w:pPr>
              <w:pStyle w:val="Compact"/>
            </w:pPr>
            <w:r>
              <w:t xml:space="preserve">Xvia (arquitetura)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Indicadores de contrato de gestão.</w:t>
            </w:r>
            <w:r>
              <w:t xml:space="preserve"> </w:t>
            </w:r>
            <w:r>
              <w:t xml:space="preserve">As metas da Seção 6.4 são proposta do estudo, não pactuação formal. Precisam ser validadas com a área responsável pelo contrato de gestão.</w:t>
            </w:r>
          </w:p>
        </w:tc>
        <w:tc>
          <w:tcPr/>
          <w:p>
            <w:pPr>
              <w:pStyle w:val="Compact"/>
            </w:pPr>
            <w:r>
              <w:t xml:space="preserve">SETDIG + SEGOV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resposta depende de contagem de conclusões.</w:t>
            </w:r>
            <w:r>
              <w:t xml:space="preserve"> </w:t>
            </w:r>
            <w:r>
              <w:t xml:space="preserve">O indicador 5 (Seção 6.3) exige que o Portal saiba quantas vezes cada serviço foi concluído. Confirmar se esse dado existe hoje e é confiável.</w:t>
            </w:r>
          </w:p>
        </w:tc>
        <w:tc>
          <w:tcPr/>
          <w:p>
            <w:pPr>
              <w:pStyle w:val="Compact"/>
            </w:pPr>
            <w:r>
              <w:t xml:space="preserve">Xvia + 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Encarregado (DPO) do Estado não identificado.</w:t>
            </w:r>
            <w:r>
              <w:t xml:space="preserve"> </w:t>
            </w:r>
            <w:r>
              <w:t xml:space="preserve">O aviso de privacidade precisa nomear o Encarregado e seu canal de contato. Hoje o campo está vazio.</w:t>
            </w:r>
          </w:p>
        </w:tc>
        <w:tc>
          <w:tcPr/>
          <w:p>
            <w:pPr>
              <w:pStyle w:val="Compact"/>
            </w:pPr>
            <w:r>
              <w:t xml:space="preserve">SETDIG + PGE-MS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 normativo estadual.</w:t>
            </w:r>
            <w:r>
              <w:t xml:space="preserve"> </w:t>
            </w:r>
            <w:r>
              <w:t xml:space="preserve">A base legal adotada é</w:t>
            </w:r>
            <w:r>
              <w:t xml:space="preserve"> </w:t>
            </w:r>
            <w:r>
              <w:t xml:space="preserve">“execução de política pública”</w:t>
            </w:r>
            <w:r>
              <w:t xml:space="preserve"> </w:t>
            </w:r>
            <w:r>
              <w:t xml:space="preserve">(LGPD art. 7º, III). O lastro fica mais sólido com decreto ou resolução estadual instituindo o Modelo de Qualidade dos Serviços Digitais do MS — hoje inexistente.</w:t>
            </w:r>
          </w:p>
        </w:tc>
        <w:tc>
          <w:tcPr/>
          <w:p>
            <w:pPr>
              <w:pStyle w:val="Compact"/>
            </w:pPr>
            <w:r>
              <w:t xml:space="preserve">SETDIG + PGE-MS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 do nome do serviço e do órgão</w:t>
            </w:r>
            <w:r>
              <w:t xml:space="preserve"> </w:t>
            </w:r>
            <w:r>
              <w:t xml:space="preserve">exibidos no cabeçalho do formulário — confirmar que vêm do mesmo cadastro usado pela carta de serviço, evitando divergência de nomenclatura.</w:t>
            </w:r>
          </w:p>
        </w:tc>
        <w:tc>
          <w:tcPr/>
          <w:p>
            <w:pPr>
              <w:pStyle w:val="Compact"/>
            </w:pPr>
            <w:r>
              <w:t xml:space="preserve">Xvia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56" w:name="anexos-referências"/>
    <w:p>
      <w:pPr>
        <w:pStyle w:val="Heading2"/>
      </w:pPr>
      <w:r>
        <w:t xml:space="preserve">9. Anexos — Referências</w:t>
      </w:r>
    </w:p>
    <w:bookmarkStart w:id="46" w:name="referência-visual-para-o-ux"/>
    <w:p>
      <w:pPr>
        <w:pStyle w:val="Heading3"/>
      </w:pPr>
      <w:r>
        <w:t xml:space="preserve">9.1. Referência visual para o UX</w:t>
      </w:r>
    </w:p>
    <w:p>
      <w:pPr>
        <w:pStyle w:val="FirstParagraph"/>
      </w:pPr>
      <w:r>
        <w:t xml:space="preserve">Não há protótipo próprio (</w:t>
      </w:r>
      <w:hyperlink w:anchor="Xf1929b018ae4e7a9f15e4d50b319e8be67fd8db">
        <w:r>
          <w:rPr>
            <w:rStyle w:val="Hyperlink"/>
          </w:rPr>
          <w:t xml:space="preserve">P3</w:t>
        </w:r>
      </w:hyperlink>
      <w:r>
        <w:t xml:space="preserve">). O desenho de referência é o formulário federal em produção: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Ferramenta de Avaliação — gov.br:</w:t>
      </w:r>
      <w:r>
        <w:t xml:space="preserve"> </w:t>
      </w:r>
      <w:hyperlink r:id="rId37">
        <w:r>
          <w:rPr>
            <w:rStyle w:val="Hyperlink"/>
          </w:rPr>
          <w:t xml:space="preserve">https://www.gov.br/governodigital/pt-br/plataformas-e-servicos-digitais/ferramenta-de-avaliacao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Central de Qualidade — gov.br:</w:t>
      </w:r>
      <w:r>
        <w:t xml:space="preserve"> </w:t>
      </w:r>
      <w:hyperlink r:id="rId38">
        <w:r>
          <w:rPr>
            <w:rStyle w:val="Hyperlink"/>
          </w:rPr>
          <w:t xml:space="preserve">https://www.gov.br/governodigital/pt-br/estrategias-e-governanca-digital/transformacao-digital/central-de-qualidade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da API de Avaliação (gov.br):</w:t>
      </w:r>
      <w:r>
        <w:t xml:space="preserve"> </w:t>
      </w:r>
      <w:hyperlink r:id="rId39">
        <w:r>
          <w:rPr>
            <w:rStyle w:val="Hyperlink"/>
          </w:rPr>
          <w:t xml:space="preserve">https://manual-avaliacao.servicos.gov.br/pt-br/latest/faq.html</w:t>
        </w:r>
      </w:hyperlink>
    </w:p>
    <w:p>
      <w:pPr>
        <w:pStyle w:val="FirstParagraph"/>
      </w:pPr>
      <w:r>
        <w:t xml:space="preserve">Estrutura visual a ser reproduzida, capturada do formulário federal em produção:</w:t>
      </w:r>
    </w:p>
    <w:p>
      <w:pPr>
        <w:pStyle w:val="CaptionedFigure"/>
      </w:pPr>
      <w:r>
        <w:drawing>
          <wp:inline>
            <wp:extent cx="5334000" cy="5075808"/>
            <wp:effectExtent b="0" l="0" r="0" t="0"/>
            <wp:docPr descr="Topo do formulário de avaliação do gov.br: cabeçalho com nome do serviço e órgão, pergunta principal com 5 estrelas rotuladas e a grade de 6 cards de motivos positivos." title="" id="41" name="Picture"/>
            <a:graphic>
              <a:graphicData uri="http://schemas.openxmlformats.org/drawingml/2006/picture">
                <pic:pic>
                  <pic:nvPicPr>
                    <pic:cNvPr descr="../assets/img/govbr/formulario-govbr-top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Topo do formulário de avaliação do gov.br: cabeçalho com nome do serviço e órgão, pergunta principal com 5 estrelas rotuladas e a grade de 6 cards de motivos positivos.</w:t>
      </w:r>
    </w:p>
    <w:p>
      <w:pPr>
        <w:pStyle w:val="BodyText"/>
      </w:pPr>
      <w:r>
        <w:rPr>
          <w:b/>
          <w:bCs/>
        </w:rPr>
        <w:t xml:space="preserve">Figura 1 — Topo do formulário.</w:t>
      </w:r>
      <w:r>
        <w:t xml:space="preserve"> </w:t>
      </w:r>
      <w:r>
        <w:t xml:space="preserve">Cabeçalho, pergunta principal com a escala de 5 estrelas rotuladas e a grade de cards de motivos positivos.</w:t>
      </w:r>
    </w:p>
    <w:p>
      <w:pPr>
        <w:pStyle w:val="CaptionedFigure"/>
      </w:pPr>
      <w:r>
        <w:drawing>
          <wp:inline>
            <wp:extent cx="5334000" cy="3470436"/>
            <wp:effectExtent b="0" l="0" r="0" t="0"/>
            <wp:docPr descr="Parte final do formulário de avaliação do gov.br: campo de comentário com contador de caracteres, bloco de acessibilidade destacado em cinza e botão Enviar avaliação." title="" id="44" name="Picture"/>
            <a:graphic>
              <a:graphicData uri="http://schemas.openxmlformats.org/drawingml/2006/picture">
                <pic:pic>
                  <pic:nvPicPr>
                    <pic:cNvPr descr="../assets/img/govbr/formulario-govbr-fina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Parte final do formulário de avaliação do gov.br: campo de comentário com contador de caracteres, bloco de acessibilidade destacado em cinza e botão Enviar avaliação.</w:t>
      </w:r>
    </w:p>
    <w:p>
      <w:pPr>
        <w:pStyle w:val="BodyText"/>
      </w:pPr>
      <w:r>
        <w:rPr>
          <w:b/>
          <w:bCs/>
        </w:rPr>
        <w:t xml:space="preserve">Figura 2 — Parte final do formulário.</w:t>
      </w:r>
      <w:r>
        <w:t xml:space="preserve"> </w:t>
      </w:r>
      <w:r>
        <w:t xml:space="preserve">Campo de comentário aberto com contador de caracteres, bloco de acessibilidade visualmente separado e botão de envio.</w:t>
      </w:r>
    </w:p>
    <w:p>
      <w:pPr>
        <w:pStyle w:val="BodyText"/>
      </w:pPr>
      <w:r>
        <w:t xml:space="preserve">Três pontos de atenção para o UX:</w:t>
      </w:r>
    </w:p>
    <w:p>
      <w:pPr>
        <w:pStyle w:val="Compact"/>
        <w:numPr>
          <w:ilvl w:val="0"/>
          <w:numId w:val="1009"/>
        </w:numPr>
      </w:pPr>
      <w:r>
        <w:t xml:space="preserve">As figuras são</w:t>
      </w:r>
      <w:r>
        <w:t xml:space="preserve"> </w:t>
      </w:r>
      <w:r>
        <w:rPr>
          <w:b/>
          <w:bCs/>
        </w:rPr>
        <w:t xml:space="preserve">referência de estrutura e sequência</w:t>
      </w:r>
      <w:r>
        <w:t xml:space="preserve">, não de estilo. O desenho deve seguir o design system do Portal Único, não a identidade visual do gov.br.</w:t>
      </w:r>
    </w:p>
    <w:p>
      <w:pPr>
        <w:pStyle w:val="Compact"/>
        <w:numPr>
          <w:ilvl w:val="0"/>
          <w:numId w:val="1009"/>
        </w:numPr>
      </w:pPr>
      <w:r>
        <w:t xml:space="preserve">O layout precisa</w:t>
      </w:r>
      <w:r>
        <w:t xml:space="preserve"> </w:t>
      </w:r>
      <w:r>
        <w:rPr>
          <w:b/>
          <w:bCs/>
        </w:rPr>
        <w:t xml:space="preserve">acomodar campos adicionais</w:t>
      </w:r>
      <w:r>
        <w:t xml:space="preserve"> </w:t>
      </w:r>
      <w:r>
        <w:t xml:space="preserve">(Seção 3.7) sem redesenho — blocos empilháveis, não posições fixas.</w:t>
      </w:r>
    </w:p>
    <w:p>
      <w:pPr>
        <w:pStyle w:val="Compact"/>
        <w:numPr>
          <w:ilvl w:val="0"/>
          <w:numId w:val="1009"/>
        </w:numPr>
      </w:pPr>
      <w:r>
        <w:t xml:space="preserve">O bloco de acessibilidade permanece</w:t>
      </w:r>
      <w:r>
        <w:t xml:space="preserve"> </w:t>
      </w:r>
      <w:r>
        <w:rPr>
          <w:b/>
          <w:bCs/>
        </w:rPr>
        <w:t xml:space="preserve">visualmente separado</w:t>
      </w:r>
      <w:r>
        <w:t xml:space="preserve"> </w:t>
      </w:r>
      <w:r>
        <w:t xml:space="preserve">dos demais, como na Figura 2. A separação não é decorativa: sinaliza ao cidadão que ali começa uma pergunta de natureza diferente (dado sensível, Seção 3.3).</w:t>
      </w:r>
    </w:p>
    <w:bookmarkEnd w:id="46"/>
    <w:bookmarkStart w:id="47" w:name="fundamento-normativo"/>
    <w:p>
      <w:pPr>
        <w:pStyle w:val="Heading3"/>
      </w:pPr>
      <w:r>
        <w:t xml:space="preserve">9.2. Fundamento normativo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Portaria SGD/MGI nº 1.083, de 14/02/2025</w:t>
      </w:r>
      <w:r>
        <w:t xml:space="preserve"> </w:t>
      </w:r>
      <w:r>
        <w:t xml:space="preserve">— norma vigente do Modelo de Qualidade dos Serviços Públicos federais.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Portaria SGD/ME nº 548, de 24/01/2022</w:t>
      </w:r>
      <w:r>
        <w:t xml:space="preserve"> </w:t>
      </w:r>
      <w:r>
        <w:t xml:space="preserve">— norma anterior; origem da escala de cinco pontos e da vedação à avaliação obrigatória.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Lei nº 13.460/2017</w:t>
      </w:r>
      <w:r>
        <w:t xml:space="preserve">, art. 23 — obriga a avaliação continuada e a publicação dos resultados.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Lei nº 13.709/2018 (LGPD)</w:t>
      </w:r>
      <w:r>
        <w:t xml:space="preserve">, art. 6º, III; art. 7º, III; art. 11, II,</w:t>
      </w:r>
      <w:r>
        <w:t xml:space="preserve"> </w:t>
      </w:r>
      <w:r>
        <w:t xml:space="preserve">“b”</w:t>
      </w:r>
      <w:r>
        <w:t xml:space="preserve"> </w:t>
      </w:r>
      <w:r>
        <w:t xml:space="preserve">— minimização e base legal.</w:t>
      </w:r>
    </w:p>
    <w:bookmarkEnd w:id="47"/>
    <w:bookmarkStart w:id="54" w:name="estudo-de-origem"/>
    <w:p>
      <w:pPr>
        <w:pStyle w:val="Heading3"/>
      </w:pPr>
      <w:r>
        <w:t xml:space="preserve">9.3. Estudo de origem</w:t>
      </w:r>
    </w:p>
    <w:p>
      <w:pPr>
        <w:pStyle w:val="FirstParagraph"/>
      </w:pPr>
      <w:r>
        <w:t xml:space="preserve">Todo o conteúdo deste documento deriva do estudo publicado em</w:t>
      </w:r>
      <w:r>
        <w:t xml:space="preserve"> </w:t>
      </w:r>
      <w:hyperlink r:id="rId9">
        <w:r>
          <w:rPr>
            <w:rStyle w:val="Hyperlink"/>
          </w:rPr>
          <w:t xml:space="preserve">https://fabioramos-02.github.io/avaliacao-de-servicos/</w:t>
        </w:r>
      </w:hyperlink>
      <w:r>
        <w:t xml:space="preserve">. Referências diretas: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8"/>
        <w:gridCol w:w="5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Seção deste documento</w:t>
            </w:r>
          </w:p>
        </w:tc>
        <w:tc>
          <w:tcPr/>
          <w:p>
            <w:pPr>
              <w:pStyle w:val="Compact"/>
            </w:pPr>
            <w:r>
              <w:t xml:space="preserve">Origem no estudo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Campos do formulário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Perguntas da proposta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3.3 Escala e rótulos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Escala — 5 estrelas rotuladas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3.4 e 3.9 Metadados e retenção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Dados coletados</w:t>
              </w:r>
            </w:hyperlink>
            <w:r>
              <w:t xml:space="preserve"> </w:t>
            </w:r>
            <w:r>
              <w:t xml:space="preserve">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LGPD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3.6 Regras de negócio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Fluxo da avaliação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 Apresentação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Modelo proposto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 Triagem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LGPD — anonimização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 Indicadores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Indicadores</w:t>
              </w:r>
            </w:hyperlink>
          </w:p>
        </w:tc>
      </w:tr>
    </w:tbl>
    <w:bookmarkEnd w:id="54"/>
    <w:bookmarkStart w:id="55" w:name="documentos-relacionados"/>
    <w:p>
      <w:pPr>
        <w:pStyle w:val="Heading3"/>
      </w:pPr>
      <w:r>
        <w:t xml:space="preserve">9.4. Documentos relacionados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Carta de Serviço — TO BE v5</w:t>
      </w:r>
      <w:r>
        <w:t xml:space="preserve"> </w:t>
      </w:r>
      <w:r>
        <w:t xml:space="preserve">— página publicada do serviço (§6.1) e painel de notificações (§7), reaproveitados aqui.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Instrução de Trabalho — Como Criar um Pacote de Documentação TO BE</w:t>
      </w:r>
      <w:r>
        <w:t xml:space="preserve"> </w:t>
      </w:r>
      <w:r>
        <w:t xml:space="preserve">— formato seguido por este documento.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validação"/>
    <w:p>
      <w:pPr>
        <w:pStyle w:val="Heading2"/>
      </w:pPr>
      <w:r>
        <w:t xml:space="preserve">10. Validação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247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Elaboração</w:t>
            </w:r>
          </w:p>
        </w:tc>
        <w:tc>
          <w:tcPr/>
          <w:p>
            <w:pPr>
              <w:pStyle w:val="Compact"/>
            </w:pPr>
            <w:r>
              <w:t xml:space="preserve">SGD — SETDIG</w:t>
            </w:r>
          </w:p>
        </w:tc>
        <w:tc>
          <w:tcPr/>
          <w:p>
            <w:pPr>
              <w:pStyle w:val="Compact"/>
            </w:pPr>
            <w:r>
              <w:t xml:space="preserve">Concluída (v1)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de Negócios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identificado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Xvia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para desenvolvimento</w:t>
            </w:r>
          </w:p>
        </w:tc>
        <w:tc>
          <w:tcPr/>
          <w:p>
            <w:pPr>
              <w:pStyle w:val="Compact"/>
            </w:pPr>
            <w:r>
              <w:t xml:space="preserve">SGD — SETDIG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hyperlink" Id="rId50" Target="../04-cidadao/dados-obrigatorios.md" TargetMode="External" /><Relationship Type="http://schemas.openxmlformats.org/officeDocument/2006/relationships/hyperlink" Id="rId19" Target="../04-cidadao/lgpd.md" TargetMode="External" /><Relationship Type="http://schemas.openxmlformats.org/officeDocument/2006/relationships/hyperlink" Id="rId49" Target="../05-proposta/escala.md" TargetMode="External" /><Relationship Type="http://schemas.openxmlformats.org/officeDocument/2006/relationships/hyperlink" Id="rId51" Target="../05-proposta/fluxo.md" TargetMode="External" /><Relationship Type="http://schemas.openxmlformats.org/officeDocument/2006/relationships/hyperlink" Id="rId53" Target="../05-proposta/indicadores.md" TargetMode="External" /><Relationship Type="http://schemas.openxmlformats.org/officeDocument/2006/relationships/hyperlink" Id="rId52" Target="../05-proposta/modelo-proposto.md" TargetMode="External" /><Relationship Type="http://schemas.openxmlformats.org/officeDocument/2006/relationships/hyperlink" Id="rId48" Target="../05-proposta/perguntas.md" TargetMode="External" /><Relationship Type="http://schemas.openxmlformats.org/officeDocument/2006/relationships/hyperlink" Id="rId9" Target="https://fabioramos-02.github.io/avaliacao-de-servicos/" TargetMode="External" /><Relationship Type="http://schemas.openxmlformats.org/officeDocument/2006/relationships/hyperlink" Id="rId39" Target="https://manual-avaliacao.servicos.gov.br/pt-br/latest/faq.html" TargetMode="External" /><Relationship Type="http://schemas.openxmlformats.org/officeDocument/2006/relationships/hyperlink" Id="rId38" Target="https://www.gov.br/governodigital/pt-br/estrategias-e-governanca-digital/transformacao-digital/central-de-qualidade" TargetMode="External" /><Relationship Type="http://schemas.openxmlformats.org/officeDocument/2006/relationships/hyperlink" Id="rId37" Target="https://www.gov.br/governodigital/pt-br/plataformas-e-servicos-digitais/ferramenta-de-avaliaca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04-cidadao/dados-obrigatorios.md" TargetMode="External" /><Relationship Type="http://schemas.openxmlformats.org/officeDocument/2006/relationships/hyperlink" Id="rId19" Target="../04-cidadao/lgpd.md" TargetMode="External" /><Relationship Type="http://schemas.openxmlformats.org/officeDocument/2006/relationships/hyperlink" Id="rId49" Target="../05-proposta/escala.md" TargetMode="External" /><Relationship Type="http://schemas.openxmlformats.org/officeDocument/2006/relationships/hyperlink" Id="rId51" Target="../05-proposta/fluxo.md" TargetMode="External" /><Relationship Type="http://schemas.openxmlformats.org/officeDocument/2006/relationships/hyperlink" Id="rId53" Target="../05-proposta/indicadores.md" TargetMode="External" /><Relationship Type="http://schemas.openxmlformats.org/officeDocument/2006/relationships/hyperlink" Id="rId52" Target="../05-proposta/modelo-proposto.md" TargetMode="External" /><Relationship Type="http://schemas.openxmlformats.org/officeDocument/2006/relationships/hyperlink" Id="rId48" Target="../05-proposta/perguntas.md" TargetMode="External" /><Relationship Type="http://schemas.openxmlformats.org/officeDocument/2006/relationships/hyperlink" Id="rId9" Target="https://fabioramos-02.github.io/avaliacao-de-servicos/" TargetMode="External" /><Relationship Type="http://schemas.openxmlformats.org/officeDocument/2006/relationships/hyperlink" Id="rId39" Target="https://manual-avaliacao.servicos.gov.br/pt-br/latest/faq.html" TargetMode="External" /><Relationship Type="http://schemas.openxmlformats.org/officeDocument/2006/relationships/hyperlink" Id="rId38" Target="https://www.gov.br/governodigital/pt-br/estrategias-e-governanca-digital/transformacao-digital/central-de-qualidade" TargetMode="External" /><Relationship Type="http://schemas.openxmlformats.org/officeDocument/2006/relationships/hyperlink" Id="rId37" Target="https://www.gov.br/governodigital/pt-br/plataformas-e-servicos-digitais/ferramenta-de-avaliaca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2026-08-21T21:00:46Z</dcterms:created>
  <dcterms:modified xsi:type="dcterms:W3CDTF">2026-08-21T21:00:46Z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