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1644778239"/>
        <w:docPartObj>
          <w:docPartGallery w:val="Table of Contents"/>
          <w:docPartUnique/>
        </w:docPartObj>
      </w:sdtPr>
      <w:sdtContent>
        <w:p w:rsidR="001F74C9" w:rsidRDefault="005D6D25">
          <w:pPr>
            <w:pStyle w:val="CabealhodoSumrio"/>
          </w:pPr>
          <w:r>
            <w:t>Table of Contents</w:t>
          </w:r>
        </w:p>
        <w:p w:rsidR="0057242E" w:rsidRDefault="005D6D25">
          <w:pPr>
            <w:pStyle w:val="Sumrio1"/>
            <w:tabs>
              <w:tab w:val="right" w:leader="dot" w:pos="8828"/>
            </w:tabs>
            <w:rPr>
              <w:noProof/>
              <w:sz w:val="22"/>
              <w:szCs w:val="22"/>
              <w:lang w:val="pt-BR" w:eastAsia="pt-BR"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39085353" w:history="1">
            <w:r w:rsidR="0057242E" w:rsidRPr="00342ABC">
              <w:rPr>
                <w:rStyle w:val="Hyperlink"/>
                <w:noProof/>
              </w:rPr>
              <w:t>Avaliação de Serviço — TO BE</w:t>
            </w:r>
            <w:r w:rsidR="0057242E">
              <w:rPr>
                <w:noProof/>
                <w:webHidden/>
              </w:rPr>
              <w:tab/>
            </w:r>
            <w:r w:rsidR="0057242E">
              <w:rPr>
                <w:noProof/>
                <w:webHidden/>
              </w:rPr>
              <w:fldChar w:fldCharType="begin"/>
            </w:r>
            <w:r w:rsidR="0057242E">
              <w:rPr>
                <w:noProof/>
                <w:webHidden/>
              </w:rPr>
              <w:instrText xml:space="preserve"> PAGEREF _Toc239085353 \h </w:instrText>
            </w:r>
            <w:r w:rsidR="0057242E">
              <w:rPr>
                <w:noProof/>
                <w:webHidden/>
              </w:rPr>
            </w:r>
            <w:r w:rsidR="0057242E">
              <w:rPr>
                <w:noProof/>
                <w:webHidden/>
              </w:rPr>
              <w:fldChar w:fldCharType="separate"/>
            </w:r>
            <w:r w:rsidR="0057242E">
              <w:rPr>
                <w:noProof/>
                <w:webHidden/>
              </w:rPr>
              <w:t>1</w:t>
            </w:r>
            <w:r w:rsidR="0057242E">
              <w:rPr>
                <w:noProof/>
                <w:webHidden/>
              </w:rPr>
              <w:fldChar w:fldCharType="end"/>
            </w:r>
          </w:hyperlink>
        </w:p>
        <w:p w:rsidR="0057242E" w:rsidRDefault="0057242E">
          <w:pPr>
            <w:pStyle w:val="Sumrio2"/>
            <w:tabs>
              <w:tab w:val="right" w:leader="dot" w:pos="8828"/>
            </w:tabs>
            <w:rPr>
              <w:noProof/>
              <w:sz w:val="22"/>
              <w:szCs w:val="22"/>
              <w:lang w:val="pt-BR" w:eastAsia="pt-BR"/>
            </w:rPr>
          </w:pPr>
          <w:hyperlink w:anchor="_Toc239085354" w:history="1">
            <w:r w:rsidRPr="00342ABC">
              <w:rPr>
                <w:rStyle w:val="Hyperlink"/>
                <w:noProof/>
              </w:rPr>
              <w:t>1.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_Toc239085354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242E" w:rsidRDefault="0057242E">
          <w:pPr>
            <w:pStyle w:val="Sumrio2"/>
            <w:tabs>
              <w:tab w:val="right" w:leader="dot" w:pos="8828"/>
            </w:tabs>
            <w:rPr>
              <w:noProof/>
              <w:sz w:val="22"/>
              <w:szCs w:val="22"/>
              <w:lang w:val="pt-BR" w:eastAsia="pt-BR"/>
            </w:rPr>
          </w:pPr>
          <w:hyperlink w:anchor="_Toc239085355" w:history="1">
            <w:r w:rsidRPr="00342ABC">
              <w:rPr>
                <w:rStyle w:val="Hyperlink"/>
                <w:noProof/>
              </w:rPr>
              <w:t>2. Escopos cobertos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_Toc239085355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242E" w:rsidRDefault="0057242E">
          <w:pPr>
            <w:pStyle w:val="Sumrio2"/>
            <w:tabs>
              <w:tab w:val="right" w:leader="dot" w:pos="8828"/>
            </w:tabs>
            <w:rPr>
              <w:noProof/>
              <w:sz w:val="22"/>
              <w:szCs w:val="22"/>
              <w:lang w:val="pt-BR" w:eastAsia="pt-BR"/>
            </w:rPr>
          </w:pPr>
          <w:hyperlink w:anchor="_Toc239085356" w:history="1">
            <w:r w:rsidRPr="00342ABC">
              <w:rPr>
                <w:rStyle w:val="Hyperlink"/>
                <w:noProof/>
              </w:rPr>
              <w:t>3. Escopo 1 — Coleta da avaliação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_Toc239085356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242E" w:rsidRDefault="0057242E">
          <w:pPr>
            <w:pStyle w:val="Sumrio2"/>
            <w:tabs>
              <w:tab w:val="right" w:leader="dot" w:pos="8828"/>
            </w:tabs>
            <w:rPr>
              <w:noProof/>
              <w:sz w:val="22"/>
              <w:szCs w:val="22"/>
              <w:lang w:val="pt-BR" w:eastAsia="pt-BR"/>
            </w:rPr>
          </w:pPr>
          <w:hyperlink w:anchor="_Toc239085357" w:history="1">
            <w:r w:rsidRPr="00342ABC">
              <w:rPr>
                <w:rStyle w:val="Hyperlink"/>
                <w:noProof/>
              </w:rPr>
              <w:t>4. Escopo 2 — Apresentação da nota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_Toc239085357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242E" w:rsidRDefault="0057242E">
          <w:pPr>
            <w:pStyle w:val="Sumrio2"/>
            <w:tabs>
              <w:tab w:val="right" w:leader="dot" w:pos="8828"/>
            </w:tabs>
            <w:rPr>
              <w:noProof/>
              <w:sz w:val="22"/>
              <w:szCs w:val="22"/>
              <w:lang w:val="pt-BR" w:eastAsia="pt-BR"/>
            </w:rPr>
          </w:pPr>
          <w:hyperlink w:anchor="_Toc239085358" w:history="1">
            <w:r w:rsidRPr="00342ABC">
              <w:rPr>
                <w:rStyle w:val="Hyperlink"/>
                <w:noProof/>
              </w:rPr>
              <w:t>5. Escopo 3 — Triagem do comentário aberto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_Toc239085358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242E" w:rsidRDefault="0057242E">
          <w:pPr>
            <w:pStyle w:val="Sumrio2"/>
            <w:tabs>
              <w:tab w:val="right" w:leader="dot" w:pos="8828"/>
            </w:tabs>
            <w:rPr>
              <w:noProof/>
              <w:sz w:val="22"/>
              <w:szCs w:val="22"/>
              <w:lang w:val="pt-BR" w:eastAsia="pt-BR"/>
            </w:rPr>
          </w:pPr>
          <w:hyperlink w:anchor="_Toc239085359" w:history="1">
            <w:r w:rsidRPr="00342ABC">
              <w:rPr>
                <w:rStyle w:val="Hyperlink"/>
                <w:noProof/>
              </w:rPr>
              <w:t>6. Escopo 4 — Painéis e indicadores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_Toc239085359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242E" w:rsidRDefault="0057242E">
          <w:pPr>
            <w:pStyle w:val="Sumrio2"/>
            <w:tabs>
              <w:tab w:val="right" w:leader="dot" w:pos="8828"/>
            </w:tabs>
            <w:rPr>
              <w:noProof/>
              <w:sz w:val="22"/>
              <w:szCs w:val="22"/>
              <w:lang w:val="pt-BR" w:eastAsia="pt-BR"/>
            </w:rPr>
          </w:pPr>
          <w:hyperlink w:anchor="_Toc239085360" w:history="1">
            <w:r w:rsidRPr="00342ABC">
              <w:rPr>
                <w:rStyle w:val="Hyperlink"/>
                <w:noProof/>
              </w:rPr>
              <w:t>8. Pendências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_Toc239085360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242E" w:rsidRDefault="0057242E">
          <w:pPr>
            <w:pStyle w:val="Sumrio2"/>
            <w:tabs>
              <w:tab w:val="right" w:leader="dot" w:pos="8828"/>
            </w:tabs>
            <w:rPr>
              <w:noProof/>
              <w:sz w:val="22"/>
              <w:szCs w:val="22"/>
              <w:lang w:val="pt-BR" w:eastAsia="pt-BR"/>
            </w:rPr>
          </w:pPr>
          <w:hyperlink w:anchor="_Toc239085361" w:history="1">
            <w:r w:rsidRPr="00342ABC">
              <w:rPr>
                <w:rStyle w:val="Hyperlink"/>
                <w:noProof/>
              </w:rPr>
              <w:t>9. Anexos — 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_Toc239085361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4C9" w:rsidRDefault="005D6D25">
          <w:r>
            <w:fldChar w:fldCharType="end"/>
          </w:r>
        </w:p>
      </w:sdtContent>
    </w:sdt>
    <w:p w:rsidR="001F74C9" w:rsidRDefault="005D6D25">
      <w:pPr>
        <w:pStyle w:val="Ttulo1"/>
      </w:pPr>
      <w:bookmarkStart w:id="0" w:name="objetivo"/>
      <w:bookmarkStart w:id="1" w:name="escopos-cobertos"/>
      <w:bookmarkStart w:id="2" w:name="ponto-de-disparo"/>
      <w:bookmarkStart w:id="3" w:name="cabeçalho-do-formulário"/>
      <w:bookmarkStart w:id="4" w:name="campos-do-formulário-núcleo-inicial"/>
      <w:bookmarkStart w:id="5" w:name="metadados-gravados-junto-com-a-avaliação"/>
      <w:bookmarkStart w:id="6" w:name="ações-da-tela"/>
      <w:bookmarkStart w:id="7" w:name="regras-de-negócio"/>
      <w:bookmarkStart w:id="8" w:name="extensibilidade-do-formulário"/>
      <w:bookmarkStart w:id="9" w:name="aviso-de-privacidade-no-ato"/>
      <w:bookmarkStart w:id="10" w:name="escopo-1-coleta-da-avaliação"/>
      <w:bookmarkStart w:id="11" w:name="onde-aparece"/>
      <w:bookmarkStart w:id="12" w:name="o-que-aparece"/>
      <w:bookmarkStart w:id="13" w:name="regras-de-negócio-1"/>
      <w:bookmarkStart w:id="14" w:name="escopo-2-apresentação-da-nota"/>
      <w:bookmarkStart w:id="15" w:name="estados-do-comentário"/>
      <w:bookmarkStart w:id="16" w:name="regras-de-negócio-2"/>
      <w:bookmarkStart w:id="17" w:name="escopo-3-triagem-do-comentário-aberto"/>
      <w:bookmarkStart w:id="18" w:name="visões"/>
      <w:bookmarkStart w:id="19" w:name="X66cf5b9abca3c7aa14346ddf25305f48ca66387"/>
      <w:bookmarkStart w:id="20" w:name="X0ebc8befc8aa2c857ac4d1f0098a6c7d8347a7f"/>
      <w:bookmarkStart w:id="21" w:name="indicadores-para-o-contrato-de-gestão"/>
      <w:bookmarkStart w:id="22" w:name="cadência"/>
      <w:bookmarkStart w:id="23" w:name="escopo-4-painéis-e-indicadores"/>
      <w:bookmarkStart w:id="24" w:name="notificações-e-alertas"/>
      <w:bookmarkStart w:id="25" w:name="pendências"/>
      <w:bookmarkStart w:id="26" w:name="referência-visual-para-o-ux"/>
      <w:bookmarkStart w:id="27" w:name="fundamento-normativo"/>
      <w:bookmarkStart w:id="28" w:name="estudo-de-origem"/>
      <w:bookmarkStart w:id="29" w:name="documentos-relacionados"/>
      <w:bookmarkStart w:id="30" w:name="anexos-referências"/>
      <w:bookmarkStart w:id="31" w:name="validação"/>
      <w:bookmarkStart w:id="32" w:name="avaliação-de-serviço-to-be"/>
      <w:bookmarkStart w:id="33" w:name="_Toc239085353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r>
        <w:t>Avaliação de Serviço — TO BE</w:t>
      </w:r>
      <w:bookmarkEnd w:id="33"/>
    </w:p>
    <w:p w:rsidR="001F74C9" w:rsidRDefault="005D6D25">
      <w:r>
        <w:rPr>
          <w:b/>
        </w:rPr>
        <w:t>Modelo de coleta, apresentação, triagem e leitura gerencial da avaliação dos serviços do Portal Único do MS.</w:t>
      </w:r>
    </w:p>
    <w:p w:rsidR="001F74C9" w:rsidRDefault="005D6D25">
      <w:r>
        <w:t xml:space="preserve">Baseado no modelo federal gov.br (Portaria SGD/MGI nº 1.083/2025) e nas regras de negócio consolidadas no estudo </w:t>
      </w:r>
      <w:r>
        <w:rPr>
          <w:color w:val="004F9F"/>
          <w:u w:val="single"/>
        </w:rPr>
        <w:t>Avaliação dos Serviços — Portal MS</w:t>
      </w:r>
      <w:r>
        <w:t>.</w:t>
      </w:r>
    </w:p>
    <w:tbl>
      <w:tblPr>
        <w:tblStyle w:val="Table"/>
        <w:tblW w:w="0" w:type="auto"/>
        <w:tblLook w:val="04A0" w:firstRow="1" w:lastRow="0" w:firstColumn="1" w:lastColumn="0" w:noHBand="0" w:noVBand="1"/>
      </w:tblPr>
      <w:tblGrid>
        <w:gridCol w:w="4518"/>
        <w:gridCol w:w="4536"/>
      </w:tblGrid>
      <w:tr w:rsidR="001F74C9" w:rsidTr="001F74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4F9F"/>
          </w:tcPr>
          <w:p w:rsidR="001F74C9" w:rsidRDefault="001F74C9"/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4F9F"/>
          </w:tcPr>
          <w:p w:rsidR="001F74C9" w:rsidRDefault="001F74C9"/>
        </w:tc>
      </w:tr>
      <w:tr w:rsidR="001F74C9" w:rsidTr="001F74C9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F74C9" w:rsidRDefault="005D6D25">
            <w:r>
              <w:rPr>
                <w:b/>
                <w:sz w:val="20"/>
              </w:rPr>
              <w:t>Versão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F74C9" w:rsidRDefault="005D6D25">
            <w:r>
              <w:rPr>
                <w:sz w:val="20"/>
              </w:rPr>
              <w:t>v2 — incorpora decisões SGD de 2026-08-25</w:t>
            </w:r>
          </w:p>
        </w:tc>
      </w:tr>
      <w:tr w:rsidR="001F74C9" w:rsidTr="001F74C9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9FC"/>
          </w:tcPr>
          <w:p w:rsidR="001F74C9" w:rsidRDefault="005D6D25">
            <w:r>
              <w:rPr>
                <w:b/>
                <w:sz w:val="20"/>
              </w:rPr>
              <w:t>Área demandante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9FC"/>
          </w:tcPr>
          <w:p w:rsidR="001F74C9" w:rsidRDefault="005D6D25">
            <w:r>
              <w:rPr>
                <w:sz w:val="20"/>
              </w:rPr>
              <w:t>Superintendência de Governo Digital (SGD) — SETDIG</w:t>
            </w:r>
          </w:p>
        </w:tc>
      </w:tr>
      <w:tr w:rsidR="001F74C9" w:rsidTr="001F74C9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F74C9" w:rsidRDefault="005D6D25">
            <w:r>
              <w:rPr>
                <w:b/>
                <w:sz w:val="20"/>
              </w:rPr>
              <w:t>Destinatário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F74C9" w:rsidRDefault="005D6D25">
            <w:r>
              <w:rPr>
                <w:sz w:val="20"/>
              </w:rPr>
              <w:t>Xvia — time de UX e desenvolvimento do Portal Único</w:t>
            </w:r>
          </w:p>
        </w:tc>
      </w:tr>
      <w:tr w:rsidR="001F74C9" w:rsidTr="001F74C9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9FC"/>
          </w:tcPr>
          <w:p w:rsidR="001F74C9" w:rsidRDefault="005D6D25">
            <w:r>
              <w:rPr>
                <w:b/>
                <w:sz w:val="20"/>
              </w:rPr>
              <w:t>Situação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9FC"/>
          </w:tcPr>
          <w:p w:rsidR="001F74C9" w:rsidRDefault="005D6D25">
            <w:r>
              <w:rPr>
                <w:sz w:val="20"/>
              </w:rPr>
              <w:t>Aguardando validação do Analista de Negócios</w:t>
            </w:r>
          </w:p>
        </w:tc>
      </w:tr>
    </w:tbl>
    <w:p w:rsidR="001F74C9" w:rsidRDefault="001F74C9">
      <w:pPr>
        <w:pBdr>
          <w:bottom w:val="single" w:sz="6" w:space="1" w:color="BFBFBF"/>
        </w:pBdr>
      </w:pPr>
    </w:p>
    <w:p w:rsidR="001F74C9" w:rsidRDefault="005D6D25">
      <w:pPr>
        <w:pStyle w:val="Ttulo2"/>
      </w:pPr>
      <w:bookmarkStart w:id="34" w:name="_Toc239085354"/>
      <w:r>
        <w:t>1. Objetivo</w:t>
      </w:r>
      <w:bookmarkEnd w:id="34"/>
    </w:p>
    <w:p w:rsidR="001F74C9" w:rsidRDefault="005D6D25">
      <w:r>
        <w:t>Especificar como o Portal Único do MS deve coletar, apresentar, triar e reportar a avaliação que o cidadão faz dos serviços digitais do Estado.</w:t>
      </w:r>
    </w:p>
    <w:p w:rsidR="001F74C9" w:rsidRDefault="005D6D25">
      <w:r>
        <w:t xml:space="preserve">A </w:t>
      </w:r>
      <w:r>
        <w:rPr>
          <w:b/>
        </w:rPr>
        <w:t>coleta</w:t>
      </w:r>
      <w:r>
        <w:t xml:space="preserve"> compreende o formulário que o cidadão preenche ao concluir um serviço; a </w:t>
      </w:r>
      <w:r>
        <w:rPr>
          <w:b/>
        </w:rPr>
        <w:t>apresentação</w:t>
      </w:r>
      <w:r>
        <w:t xml:space="preserve"> é como a nota resultante aparece na página pública do serviço; a </w:t>
      </w:r>
      <w:r>
        <w:rPr>
          <w:b/>
        </w:rPr>
        <w:t>triagem</w:t>
      </w:r>
      <w:r>
        <w:t xml:space="preserve"> é o tratamento do comentário aberto antes de qualquer uso; os </w:t>
      </w:r>
      <w:r>
        <w:rPr>
          <w:b/>
        </w:rPr>
        <w:t>painéis e indicadores</w:t>
      </w:r>
      <w:r>
        <w:t xml:space="preserve"> são a leitura gerencial que sustenta a decisão de melhoria e alimenta o contrato de gestão do Governo do Estado.</w:t>
      </w:r>
    </w:p>
    <w:p w:rsidR="001F74C9" w:rsidRDefault="005D6D25">
      <w:r>
        <w:lastRenderedPageBreak/>
        <w:t xml:space="preserve">O Estado opera </w:t>
      </w:r>
      <w:r>
        <w:rPr>
          <w:b/>
        </w:rPr>
        <w:t>instrumento próprio</w:t>
      </w:r>
      <w:r>
        <w:t xml:space="preserve">, hospedado no Portal Único. O formulário federal do gov.br é a </w:t>
      </w:r>
      <w:r>
        <w:rPr>
          <w:b/>
        </w:rPr>
        <w:t>base inicial</w:t>
      </w:r>
      <w:r>
        <w:t xml:space="preserve"> do desenho — ponto de partida já validado em escala nacional, que dá comparabilidade desde o primeiro dia. </w:t>
      </w:r>
      <w:r>
        <w:rPr>
          <w:b/>
        </w:rPr>
        <w:t>Não é uma camisa de força:</w:t>
      </w:r>
      <w:r>
        <w:t xml:space="preserve"> o instrumento é do Estado e pode receber novos campos conforme a necessidade da gestão, respeitadas as regras da Seção </w:t>
      </w:r>
      <w:r>
        <w:rPr>
          <w:color w:val="004F9F"/>
          <w:u w:val="single"/>
        </w:rPr>
        <w:t>3.7</w:t>
      </w:r>
      <w:r>
        <w:t>.</w:t>
      </w:r>
    </w:p>
    <w:p w:rsidR="001F74C9" w:rsidRDefault="005D6D25">
      <w:r>
        <w:rPr>
          <w:b/>
        </w:rPr>
        <w:t>Escopo (decisão SGD 2026-08-25):</w:t>
      </w:r>
      <w:r>
        <w:t xml:space="preserve"> somente serviços que nascem no </w:t>
      </w:r>
      <w:r>
        <w:rPr>
          <w:b/>
        </w:rPr>
        <w:t>orquestrador X-VIA</w:t>
      </w:r>
      <w:r>
        <w:t xml:space="preserve">. Avaliação </w:t>
      </w:r>
      <w:r>
        <w:rPr>
          <w:b/>
        </w:rPr>
        <w:t>identificada</w:t>
      </w:r>
      <w:r>
        <w:t xml:space="preserve"> — cidadão logado no Portal + município do serviço finalístico. Detalhes na Seção 3.</w:t>
      </w:r>
    </w:p>
    <w:p w:rsidR="001F74C9" w:rsidRDefault="005D6D25">
      <w:r>
        <w:rPr>
          <w:b/>
        </w:rPr>
        <w:t>Fora deste pacote:</w:t>
      </w:r>
      <w:r>
        <w:t xml:space="preserve"> definição de perfis e permissões de acesso; cessão de dados ao gov.br via API; serviços legados fora do orquestrador X-VIA.</w:t>
      </w:r>
    </w:p>
    <w:p w:rsidR="001F74C9" w:rsidRDefault="001F74C9">
      <w:pPr>
        <w:pBdr>
          <w:bottom w:val="single" w:sz="6" w:space="1" w:color="BFBFBF"/>
        </w:pBdr>
      </w:pPr>
    </w:p>
    <w:p w:rsidR="001F74C9" w:rsidRDefault="005D6D25">
      <w:pPr>
        <w:pStyle w:val="Ttulo2"/>
      </w:pPr>
      <w:bookmarkStart w:id="35" w:name="_Toc239085355"/>
      <w:r>
        <w:t>2. Escopos cobertos</w:t>
      </w:r>
      <w:bookmarkEnd w:id="35"/>
    </w:p>
    <w:tbl>
      <w:tblPr>
        <w:tblStyle w:val="Table"/>
        <w:tblW w:w="0" w:type="auto"/>
        <w:tblLook w:val="04A0" w:firstRow="1" w:lastRow="0" w:firstColumn="1" w:lastColumn="0" w:noHBand="0" w:noVBand="1"/>
      </w:tblPr>
      <w:tblGrid>
        <w:gridCol w:w="2994"/>
        <w:gridCol w:w="3045"/>
        <w:gridCol w:w="3015"/>
      </w:tblGrid>
      <w:tr w:rsidR="001F74C9" w:rsidTr="008228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9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4F9F"/>
          </w:tcPr>
          <w:p w:rsidR="001F74C9" w:rsidRDefault="005D6D25"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30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4F9F"/>
          </w:tcPr>
          <w:p w:rsidR="001F74C9" w:rsidRDefault="005D6D25">
            <w:r>
              <w:rPr>
                <w:b/>
                <w:color w:val="FFFFFF"/>
                <w:sz w:val="20"/>
              </w:rPr>
              <w:t>Escopo</w:t>
            </w:r>
          </w:p>
        </w:tc>
        <w:tc>
          <w:tcPr>
            <w:tcW w:w="30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4F9F"/>
          </w:tcPr>
          <w:p w:rsidR="001F74C9" w:rsidRDefault="005D6D25">
            <w:r>
              <w:rPr>
                <w:b/>
                <w:color w:val="FFFFFF"/>
                <w:sz w:val="20"/>
              </w:rPr>
              <w:t>Seção</w:t>
            </w:r>
          </w:p>
        </w:tc>
      </w:tr>
      <w:tr w:rsidR="001F74C9" w:rsidTr="00822804">
        <w:tc>
          <w:tcPr>
            <w:tcW w:w="29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F74C9" w:rsidRDefault="005D6D25">
            <w:r>
              <w:rPr>
                <w:sz w:val="20"/>
              </w:rPr>
              <w:t>1</w:t>
            </w:r>
          </w:p>
        </w:tc>
        <w:tc>
          <w:tcPr>
            <w:tcW w:w="30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F74C9" w:rsidRDefault="005D6D25">
            <w:r>
              <w:rPr>
                <w:sz w:val="20"/>
              </w:rPr>
              <w:t>Coleta da avaliação pelo cidadão</w:t>
            </w:r>
          </w:p>
        </w:tc>
        <w:tc>
          <w:tcPr>
            <w:tcW w:w="30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F74C9" w:rsidRDefault="005D6D25">
            <w:r>
              <w:rPr>
                <w:color w:val="004F9F"/>
                <w:sz w:val="20"/>
                <w:u w:val="single"/>
              </w:rPr>
              <w:t>3</w:t>
            </w:r>
          </w:p>
        </w:tc>
      </w:tr>
      <w:tr w:rsidR="001F74C9" w:rsidTr="00822804">
        <w:tc>
          <w:tcPr>
            <w:tcW w:w="29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9FC"/>
          </w:tcPr>
          <w:p w:rsidR="001F74C9" w:rsidRDefault="005D6D25">
            <w:r>
              <w:rPr>
                <w:sz w:val="20"/>
              </w:rPr>
              <w:t>2</w:t>
            </w:r>
          </w:p>
        </w:tc>
        <w:tc>
          <w:tcPr>
            <w:tcW w:w="30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9FC"/>
          </w:tcPr>
          <w:p w:rsidR="001F74C9" w:rsidRDefault="005D6D25">
            <w:r>
              <w:rPr>
                <w:sz w:val="20"/>
              </w:rPr>
              <w:t>Apresentação da nota ao cidadão</w:t>
            </w:r>
          </w:p>
        </w:tc>
        <w:tc>
          <w:tcPr>
            <w:tcW w:w="30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9FC"/>
          </w:tcPr>
          <w:p w:rsidR="001F74C9" w:rsidRDefault="005D6D25">
            <w:r>
              <w:rPr>
                <w:color w:val="004F9F"/>
                <w:sz w:val="20"/>
                <w:u w:val="single"/>
              </w:rPr>
              <w:t>4</w:t>
            </w:r>
          </w:p>
        </w:tc>
      </w:tr>
    </w:tbl>
    <w:p w:rsidR="001F74C9" w:rsidRDefault="001F74C9"/>
    <w:p w:rsidR="001F74C9" w:rsidRDefault="005D6D25">
      <w:r>
        <w:rPr>
          <w:b/>
        </w:rPr>
        <w:t>Não cobertos por este documento:</w:t>
      </w:r>
    </w:p>
    <w:p w:rsidR="001F74C9" w:rsidRDefault="005D6D25">
      <w:pPr>
        <w:spacing w:after="60"/>
        <w:ind w:left="340"/>
      </w:pPr>
      <w:r>
        <w:t xml:space="preserve">•  </w:t>
      </w:r>
      <w:r>
        <w:rPr>
          <w:b/>
        </w:rPr>
        <w:t>Perfis e controle de acesso (RBAC).</w:t>
      </w:r>
      <w:r>
        <w:t xml:space="preserve"> As seções abaixo indicam _qual área_ consome cada informação, mas a modelagem de perfis e permissões é tratada em etapa própria — ver </w:t>
      </w:r>
      <w:r>
        <w:rPr>
          <w:color w:val="004F9F"/>
          <w:u w:val="single"/>
        </w:rPr>
        <w:t>Pendência P1</w:t>
      </w:r>
      <w:r>
        <w:t>.</w:t>
      </w:r>
    </w:p>
    <w:p w:rsidR="001F74C9" w:rsidRDefault="005D6D25">
      <w:pPr>
        <w:spacing w:after="60"/>
        <w:ind w:left="340"/>
      </w:pPr>
      <w:r>
        <w:t xml:space="preserve">•  </w:t>
      </w:r>
      <w:r>
        <w:rPr>
          <w:b/>
        </w:rPr>
        <w:t>Cessão de dados ao gov.br via API.</w:t>
      </w:r>
      <w:r>
        <w:t xml:space="preserve"> Documento separado.</w:t>
      </w:r>
    </w:p>
    <w:p w:rsidR="001F74C9" w:rsidRDefault="005D6D25">
      <w:pPr>
        <w:spacing w:after="60"/>
        <w:ind w:left="340"/>
      </w:pPr>
      <w:r>
        <w:t xml:space="preserve">•  </w:t>
      </w:r>
      <w:r>
        <w:rPr>
          <w:b/>
        </w:rPr>
        <w:t>Avaliação da carta de serviço</w:t>
      </w:r>
      <w:r>
        <w:t xml:space="preserve"> ("Esta informação foi útil?" e "Reportar erro"), que já existe em produção e permanece como está</w:t>
      </w:r>
      <w:bookmarkStart w:id="36" w:name="_GoBack"/>
      <w:bookmarkEnd w:id="36"/>
    </w:p>
    <w:p w:rsidR="001F74C9" w:rsidRDefault="001F74C9">
      <w:pPr>
        <w:pBdr>
          <w:bottom w:val="single" w:sz="6" w:space="1" w:color="BFBFBF"/>
        </w:pBdr>
      </w:pPr>
    </w:p>
    <w:p w:rsidR="001F74C9" w:rsidRDefault="005D6D25">
      <w:pPr>
        <w:pStyle w:val="Ttulo2"/>
      </w:pPr>
      <w:bookmarkStart w:id="37" w:name="_Toc239085356"/>
      <w:r>
        <w:t>3. Escopo 1 — Coleta da avaliação</w:t>
      </w:r>
      <w:bookmarkEnd w:id="37"/>
    </w:p>
    <w:p w:rsidR="001F74C9" w:rsidRDefault="005D6D25">
      <w:pPr>
        <w:pStyle w:val="Ttulo3"/>
      </w:pPr>
      <w:r>
        <w:t>3.1. Ponto de disparo</w:t>
      </w:r>
    </w:p>
    <w:p w:rsidR="001F74C9" w:rsidRDefault="005D6D25" w:rsidP="005D6D25">
      <w:pPr>
        <w:jc w:val="both"/>
      </w:pPr>
      <w:r>
        <w:t>O serviço nasce no orquestrador X-VIA. O cidadão está logado no Portal para iniciá-lo e, na maior parte dos casos, é redirecionado ao sistema do órgão finalístico para executar o serviço. Dois caminhos de disparo do convite convivem:</w:t>
      </w:r>
    </w:p>
    <w:p w:rsidR="001F74C9" w:rsidRDefault="005D6D25" w:rsidP="005D6D25">
      <w:pPr>
        <w:spacing w:after="60"/>
        <w:ind w:left="340"/>
        <w:jc w:val="both"/>
      </w:pPr>
      <w:r>
        <w:t xml:space="preserve">1.  </w:t>
      </w:r>
      <w:r>
        <w:rPr>
          <w:b/>
        </w:rPr>
        <w:t>Retorno pelo Portal.</w:t>
      </w:r>
      <w:r>
        <w:t xml:space="preserve"> Quando o cidadão retorna ao Portal ao final do serviço, a tela de confirmação exibe o convite discreto: </w:t>
      </w:r>
      <w:r>
        <w:rPr>
          <w:b/>
        </w:rPr>
        <w:t>"Avalie este serviço"</w:t>
      </w:r>
      <w:r>
        <w:t>.</w:t>
      </w:r>
    </w:p>
    <w:p w:rsidR="005D6D25" w:rsidRDefault="005D6D25"/>
    <w:p w:rsidR="001F74C9" w:rsidRDefault="005D6D25">
      <w:proofErr w:type="spellStart"/>
      <w:r>
        <w:rPr>
          <w:b/>
        </w:rPr>
        <w:t>Regra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jurídica</w:t>
      </w:r>
      <w:proofErr w:type="spellEnd"/>
      <w:r>
        <w:rPr>
          <w:b/>
        </w:rPr>
        <w:t xml:space="preserve"> que </w:t>
      </w:r>
      <w:proofErr w:type="spellStart"/>
      <w:r>
        <w:rPr>
          <w:b/>
        </w:rPr>
        <w:t>condiciona</w:t>
      </w:r>
      <w:proofErr w:type="spellEnd"/>
      <w:r>
        <w:rPr>
          <w:b/>
        </w:rPr>
        <w:t xml:space="preserve"> todo este escopo:</w:t>
      </w:r>
      <w:r>
        <w:t xml:space="preserve"> a avaliação </w:t>
      </w:r>
      <w:r>
        <w:rPr>
          <w:b/>
        </w:rPr>
        <w:t>nunca</w:t>
      </w:r>
      <w:r>
        <w:t xml:space="preserve"> pode ser etapa obrigatória da jornada (art. 7º, §3º, Portaria SGD/ME nº 548/2022, mantido </w:t>
      </w:r>
      <w:r>
        <w:lastRenderedPageBreak/>
        <w:t>pela Portaria SGD/MGI nº 1.083/2025). Fechar, pular ou ignorar o convite — na tela ou por e-mail — deve estar sempre disponível, sem prejuízo algum ao serviço.</w:t>
      </w:r>
    </w:p>
    <w:p w:rsidR="001F74C9" w:rsidRDefault="005D6D25">
      <w:r>
        <w:rPr>
          <w:b/>
        </w:rPr>
        <w:t>Convite único por execução.</w:t>
      </w:r>
      <w:r>
        <w:t xml:space="preserve"> Uma execução do serviço = um convite. Tela </w:t>
      </w:r>
      <w:r>
        <w:rPr>
          <w:b/>
        </w:rPr>
        <w:t>ou</w:t>
      </w:r>
      <w:r>
        <w:t xml:space="preserve"> e-mail, não os dois. Se o cidadão avaliar pela tela, o e-mail não é disparado; se o e-mail já foi disparado e o cidadão avaliar pela tela, o link único do e-mail é invalidado.</w:t>
      </w:r>
    </w:p>
    <w:p w:rsidR="001F74C9" w:rsidRDefault="005D6D25">
      <w:pPr>
        <w:pStyle w:val="Ttulo3"/>
      </w:pPr>
      <w:r>
        <w:t>3.2. Cabeçalho do formulário</w:t>
      </w:r>
    </w:p>
    <w:p w:rsidR="001F74C9" w:rsidRDefault="005D6D25">
      <w:r>
        <w:t>Texto fixo:</w:t>
      </w:r>
    </w:p>
    <w:p w:rsidR="005D6D25" w:rsidRDefault="005D6D25" w:rsidP="005D6D25">
      <w:pPr>
        <w:pBdr>
          <w:left w:val="single" w:sz="18" w:space="8" w:color="004F9F"/>
        </w:pBdr>
        <w:ind w:left="454"/>
        <w:rPr>
          <w:i/>
          <w:color w:val="334155"/>
        </w:rPr>
      </w:pPr>
      <w:r>
        <w:rPr>
          <w:i/>
          <w:color w:val="334155"/>
        </w:rPr>
        <w:t xml:space="preserve">**Avaliação do Serviço — {Nome do </w:t>
      </w:r>
      <w:proofErr w:type="spellStart"/>
      <w:r>
        <w:rPr>
          <w:i/>
          <w:color w:val="334155"/>
        </w:rPr>
        <w:t>Serviço</w:t>
      </w:r>
      <w:proofErr w:type="spellEnd"/>
      <w:r>
        <w:rPr>
          <w:i/>
          <w:color w:val="334155"/>
        </w:rPr>
        <w:t>} — {</w:t>
      </w:r>
      <w:proofErr w:type="spellStart"/>
      <w:r>
        <w:rPr>
          <w:i/>
          <w:color w:val="334155"/>
        </w:rPr>
        <w:t>Órgão</w:t>
      </w:r>
      <w:proofErr w:type="spellEnd"/>
      <w:r>
        <w:rPr>
          <w:i/>
          <w:color w:val="334155"/>
        </w:rPr>
        <w:t>}**</w:t>
      </w:r>
    </w:p>
    <w:p w:rsidR="005D6D25" w:rsidRDefault="005D6D25" w:rsidP="005D6D25">
      <w:pPr>
        <w:rPr>
          <w:i/>
          <w:color w:val="334155"/>
        </w:rPr>
      </w:pPr>
    </w:p>
    <w:p w:rsidR="005D6D25" w:rsidRPr="005D6D25" w:rsidRDefault="005D6D25" w:rsidP="005D6D25">
      <w:pPr>
        <w:jc w:val="center"/>
      </w:pPr>
      <w:r w:rsidRPr="005D6D25">
        <w:drawing>
          <wp:inline distT="0" distB="0" distL="0" distR="0" wp14:anchorId="66905C2C" wp14:editId="29EDF1AA">
            <wp:extent cx="3132814" cy="383573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40842" cy="3845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74C9" w:rsidRDefault="005D6D25">
      <w:pPr>
        <w:pStyle w:val="Ttulo3"/>
      </w:pPr>
      <w:r>
        <w:t>3.3. Campos do formulário — núcleo inicial</w:t>
      </w:r>
    </w:p>
    <w:p w:rsidR="001F74C9" w:rsidRDefault="005D6D25">
      <w:r>
        <w:t>Estes são os campos com que o instrumento entra no ar. Replicam o formulário federal. Único campo obrigatório é a nota; os demais podem ficar em branco sem impedir o envio.</w:t>
      </w:r>
    </w:p>
    <w:tbl>
      <w:tblPr>
        <w:tblStyle w:val="Table"/>
        <w:tblW w:w="0" w:type="auto"/>
        <w:tblLook w:val="04A0" w:firstRow="1" w:lastRow="0" w:firstColumn="1" w:lastColumn="0" w:noHBand="0" w:noVBand="1"/>
      </w:tblPr>
      <w:tblGrid>
        <w:gridCol w:w="1305"/>
        <w:gridCol w:w="1500"/>
        <w:gridCol w:w="1475"/>
        <w:gridCol w:w="1507"/>
        <w:gridCol w:w="1606"/>
        <w:gridCol w:w="1661"/>
      </w:tblGrid>
      <w:tr w:rsidR="001F74C9" w:rsidTr="001F74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4F9F"/>
          </w:tcPr>
          <w:p w:rsidR="001F74C9" w:rsidRDefault="005D6D25"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4F9F"/>
          </w:tcPr>
          <w:p w:rsidR="001F74C9" w:rsidRDefault="005D6D25"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4F9F"/>
          </w:tcPr>
          <w:p w:rsidR="001F74C9" w:rsidRDefault="005D6D25">
            <w:r>
              <w:rPr>
                <w:b/>
                <w:color w:val="FFFFFF"/>
                <w:sz w:val="20"/>
              </w:rPr>
              <w:t>Tipo de Campo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4F9F"/>
          </w:tcPr>
          <w:p w:rsidR="001F74C9" w:rsidRDefault="005D6D25">
            <w:r>
              <w:rPr>
                <w:b/>
                <w:color w:val="FFFFFF"/>
                <w:sz w:val="20"/>
              </w:rPr>
              <w:t>Obrigatório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4F9F"/>
          </w:tcPr>
          <w:p w:rsidR="001F74C9" w:rsidRDefault="005D6D25">
            <w:r>
              <w:rPr>
                <w:b/>
                <w:color w:val="FFFFFF"/>
                <w:sz w:val="20"/>
              </w:rPr>
              <w:t>Descrição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4F9F"/>
          </w:tcPr>
          <w:p w:rsidR="001F74C9" w:rsidRDefault="005D6D25">
            <w:r>
              <w:rPr>
                <w:b/>
                <w:color w:val="FFFFFF"/>
                <w:sz w:val="20"/>
              </w:rPr>
              <w:t>Exemplo de Preenchimento</w:t>
            </w:r>
          </w:p>
        </w:tc>
      </w:tr>
      <w:tr w:rsidR="001F74C9" w:rsidTr="001F74C9"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F74C9" w:rsidRDefault="005D6D25">
            <w:r>
              <w:rPr>
                <w:sz w:val="20"/>
              </w:rPr>
              <w:t>1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F74C9" w:rsidRDefault="005D6D25">
            <w:r>
              <w:rPr>
                <w:sz w:val="20"/>
              </w:rPr>
              <w:t xml:space="preserve">Como foi a sua experiência </w:t>
            </w:r>
            <w:r>
              <w:rPr>
                <w:sz w:val="20"/>
              </w:rPr>
              <w:lastRenderedPageBreak/>
              <w:t>com o serviço?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F74C9" w:rsidRDefault="005D6D25">
            <w:r>
              <w:rPr>
                <w:sz w:val="20"/>
              </w:rPr>
              <w:lastRenderedPageBreak/>
              <w:t xml:space="preserve">rating — 5 estrelas com rótulo verbal </w:t>
            </w:r>
            <w:r>
              <w:rPr>
                <w:sz w:val="20"/>
              </w:rPr>
              <w:lastRenderedPageBreak/>
              <w:t>fixo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F74C9" w:rsidRDefault="005D6D25">
            <w:r>
              <w:rPr>
                <w:b/>
                <w:sz w:val="20"/>
              </w:rPr>
              <w:lastRenderedPageBreak/>
              <w:t>Sim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F74C9" w:rsidRDefault="005D6D25">
            <w:r>
              <w:rPr>
                <w:sz w:val="20"/>
              </w:rPr>
              <w:t xml:space="preserve">Nota do cidadão. Rótulos: 1 </w:t>
            </w:r>
            <w:r>
              <w:rPr>
                <w:sz w:val="20"/>
              </w:rPr>
              <w:lastRenderedPageBreak/>
              <w:t>Péssima, 2 Ruim, 3 Mais ou menos, 4 Boa, 5 Excelente. Valor gravado é o inteiro de 1 a 5.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F74C9" w:rsidRDefault="005D6D25">
            <w:r>
              <w:rPr>
                <w:sz w:val="20"/>
              </w:rPr>
              <w:lastRenderedPageBreak/>
              <w:t>4 — Boa</w:t>
            </w:r>
          </w:p>
        </w:tc>
      </w:tr>
      <w:tr w:rsidR="001F74C9" w:rsidTr="001F74C9"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9FC"/>
          </w:tcPr>
          <w:p w:rsidR="001F74C9" w:rsidRDefault="005D6D25">
            <w:r>
              <w:rPr>
                <w:sz w:val="20"/>
              </w:rPr>
              <w:t>2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9FC"/>
          </w:tcPr>
          <w:p w:rsidR="001F74C9" w:rsidRDefault="005D6D25">
            <w:r>
              <w:rPr>
                <w:sz w:val="20"/>
              </w:rPr>
              <w:t>O que você mais gostou em nosso serviço?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9FC"/>
          </w:tcPr>
          <w:p w:rsidR="001F74C9" w:rsidRDefault="005D6D25">
            <w:r>
              <w:rPr>
                <w:sz w:val="20"/>
              </w:rPr>
              <w:t>checkbox em formato de card — 6 opções, seleção de até 3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9FC"/>
          </w:tcPr>
          <w:p w:rsidR="001F74C9" w:rsidRDefault="005D6D25">
            <w:r>
              <w:rPr>
                <w:sz w:val="20"/>
              </w:rPr>
              <w:t>Não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9FC"/>
          </w:tcPr>
          <w:p w:rsidR="001F74C9" w:rsidRDefault="005D6D25">
            <w:r>
              <w:rPr>
                <w:sz w:val="20"/>
              </w:rPr>
              <w:t>Motivos positivos. Opções: Fácil de usar; Site/aplicativo funcionou bem; Informações claras; Consegui resolver; Foi rápido; Fácil de encontrar. Gravado como lista de códigos.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9FC"/>
          </w:tcPr>
          <w:p w:rsidR="001F74C9" w:rsidRDefault="005D6D25">
            <w:r>
              <w:rPr>
                <w:sz w:val="20"/>
              </w:rPr>
              <w:t>Foi rápido; Consegui resolver</w:t>
            </w:r>
          </w:p>
        </w:tc>
      </w:tr>
      <w:tr w:rsidR="001F74C9" w:rsidTr="001F74C9"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F74C9" w:rsidRDefault="005D6D25">
            <w:r>
              <w:rPr>
                <w:sz w:val="20"/>
              </w:rPr>
              <w:t>3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F74C9" w:rsidRDefault="005D6D25">
            <w:r>
              <w:rPr>
                <w:sz w:val="20"/>
              </w:rPr>
              <w:t>Deixe elogio, sugestão ou crítica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F74C9" w:rsidRDefault="005D6D25">
            <w:r>
              <w:rPr>
                <w:sz w:val="20"/>
              </w:rPr>
              <w:t>textarea — limite 2.000 caracteres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F74C9" w:rsidRDefault="005D6D25">
            <w:r>
              <w:rPr>
                <w:sz w:val="20"/>
              </w:rPr>
              <w:t>Não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F74C9" w:rsidRDefault="005D6D25">
            <w:r>
              <w:rPr>
                <w:sz w:val="20"/>
              </w:rPr>
              <w:t>Comentário livre. Placeholder: _"Para que possamos melhorar o serviço, conte-nos sobre sua experiência."_ Contador de caracteres restantes visível.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F74C9" w:rsidRDefault="005D6D25">
            <w:r>
              <w:rPr>
                <w:sz w:val="20"/>
              </w:rPr>
              <w:t>O agendamento foi rápido, mas o e-mail de confirmação demorou.</w:t>
            </w:r>
          </w:p>
        </w:tc>
      </w:tr>
      <w:tr w:rsidR="001F74C9" w:rsidTr="001F74C9"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9FC"/>
          </w:tcPr>
          <w:p w:rsidR="001F74C9" w:rsidRDefault="005D6D25">
            <w:r>
              <w:rPr>
                <w:sz w:val="20"/>
              </w:rPr>
              <w:t>4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9FC"/>
          </w:tcPr>
          <w:p w:rsidR="001F74C9" w:rsidRDefault="005D6D25">
            <w:r>
              <w:rPr>
                <w:sz w:val="20"/>
              </w:rPr>
              <w:t>Você se considera uma pessoa com deficiência?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9FC"/>
          </w:tcPr>
          <w:p w:rsidR="001F74C9" w:rsidRDefault="005D6D25">
            <w:r>
              <w:rPr>
                <w:sz w:val="20"/>
              </w:rPr>
              <w:t>radio — Sim / Não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9FC"/>
          </w:tcPr>
          <w:p w:rsidR="001F74C9" w:rsidRDefault="005D6D25">
            <w:r>
              <w:rPr>
                <w:sz w:val="20"/>
              </w:rPr>
              <w:t>Não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9FC"/>
          </w:tcPr>
          <w:p w:rsidR="001F74C9" w:rsidRDefault="005D6D25">
            <w:r>
              <w:rPr>
                <w:sz w:val="20"/>
              </w:rPr>
              <w:t xml:space="preserve">Autodeclaração de PcD. </w:t>
            </w:r>
            <w:r>
              <w:rPr>
                <w:b/>
                <w:sz w:val="20"/>
              </w:rPr>
              <w:t>Dado pessoal sensível</w:t>
            </w:r>
            <w:r>
              <w:rPr>
                <w:sz w:val="20"/>
              </w:rPr>
              <w:t xml:space="preserve"> (LGPD art. 5º, II) — bloco visualmente separado dos anteriores, com o aviso: _"Para garantir que nossos serviços atendam todas as pessoas, gostaríamos de saber mais </w:t>
            </w:r>
            <w:r>
              <w:rPr>
                <w:sz w:val="20"/>
              </w:rPr>
              <w:lastRenderedPageBreak/>
              <w:t>sobre você."_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9FC"/>
          </w:tcPr>
          <w:p w:rsidR="001F74C9" w:rsidRDefault="005D6D25">
            <w:r>
              <w:rPr>
                <w:sz w:val="20"/>
              </w:rPr>
              <w:lastRenderedPageBreak/>
              <w:t>Não</w:t>
            </w:r>
          </w:p>
        </w:tc>
      </w:tr>
    </w:tbl>
    <w:p w:rsidR="001F74C9" w:rsidRDefault="001F74C9"/>
    <w:p w:rsidR="001F74C9" w:rsidRDefault="001F74C9"/>
    <w:p w:rsidR="001F74C9" w:rsidRDefault="005D6D25">
      <w:pPr>
        <w:pStyle w:val="Ttulo3"/>
      </w:pPr>
      <w:r>
        <w:t>3.4. Ações da tela</w:t>
      </w:r>
    </w:p>
    <w:tbl>
      <w:tblPr>
        <w:tblStyle w:val="Table"/>
        <w:tblW w:w="0" w:type="auto"/>
        <w:tblLook w:val="04A0" w:firstRow="1" w:lastRow="0" w:firstColumn="1" w:lastColumn="0" w:noHBand="0" w:noVBand="1"/>
      </w:tblPr>
      <w:tblGrid>
        <w:gridCol w:w="2996"/>
        <w:gridCol w:w="3029"/>
        <w:gridCol w:w="3029"/>
      </w:tblGrid>
      <w:tr w:rsidR="001F74C9" w:rsidTr="001F74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4F9F"/>
          </w:tcPr>
          <w:p w:rsidR="001F74C9" w:rsidRDefault="005D6D25">
            <w:r>
              <w:rPr>
                <w:b/>
                <w:color w:val="FFFFFF"/>
                <w:sz w:val="20"/>
              </w:rPr>
              <w:t>Ação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4F9F"/>
          </w:tcPr>
          <w:p w:rsidR="001F74C9" w:rsidRDefault="005D6D25">
            <w:r>
              <w:rPr>
                <w:b/>
                <w:color w:val="FFFFFF"/>
                <w:sz w:val="20"/>
              </w:rPr>
              <w:t>Quando fica disponível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4F9F"/>
          </w:tcPr>
          <w:p w:rsidR="001F74C9" w:rsidRDefault="005D6D25">
            <w:r>
              <w:rPr>
                <w:b/>
                <w:color w:val="FFFFFF"/>
                <w:sz w:val="20"/>
              </w:rPr>
              <w:t>Efeito</w:t>
            </w:r>
          </w:p>
        </w:tc>
      </w:tr>
      <w:tr w:rsidR="001F74C9" w:rsidTr="001F74C9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F74C9" w:rsidRDefault="005D6D25">
            <w:r>
              <w:rPr>
                <w:sz w:val="20"/>
              </w:rPr>
              <w:t>Enviar avaliação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F74C9" w:rsidRDefault="005D6D25">
            <w:r>
              <w:rPr>
                <w:sz w:val="20"/>
              </w:rPr>
              <w:t>Habilita assim que a nota (campo 1) é escolhida. Permanece desabilitado antes disso.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F74C9" w:rsidRDefault="005D6D25">
            <w:r>
              <w:rPr>
                <w:sz w:val="20"/>
              </w:rPr>
              <w:t>Grava a avaliação e exibe a tela de agradecimento.</w:t>
            </w:r>
          </w:p>
        </w:tc>
      </w:tr>
      <w:tr w:rsidR="001F74C9" w:rsidTr="001F74C9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9FC"/>
          </w:tcPr>
          <w:p w:rsidR="001F74C9" w:rsidRDefault="005D6D25">
            <w:r>
              <w:rPr>
                <w:sz w:val="20"/>
              </w:rPr>
              <w:t>Fechar / Pular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9FC"/>
          </w:tcPr>
          <w:p w:rsidR="001F74C9" w:rsidRDefault="005D6D25">
            <w:r>
              <w:rPr>
                <w:sz w:val="20"/>
              </w:rPr>
              <w:t>Sempre disponível, em qualquer momento do preenchimento.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9FC"/>
          </w:tcPr>
          <w:p w:rsidR="001F74C9" w:rsidRDefault="005D6D25">
            <w:r>
              <w:rPr>
                <w:sz w:val="20"/>
              </w:rPr>
              <w:t>Encerra o fluxo sem gravar nada. Cidadão segue sem prejuízo.</w:t>
            </w:r>
          </w:p>
        </w:tc>
      </w:tr>
      <w:tr w:rsidR="001F74C9" w:rsidTr="001F74C9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F74C9" w:rsidRDefault="005D6D25">
            <w:r>
              <w:rPr>
                <w:sz w:val="20"/>
              </w:rPr>
              <w:t>Como tratamos seus dados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F74C9" w:rsidRDefault="005D6D25">
            <w:r>
              <w:rPr>
                <w:sz w:val="20"/>
              </w:rPr>
              <w:t>Sempre disponível, como link abaixo do botão de envio.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F74C9" w:rsidRDefault="005D6D25">
            <w:r>
              <w:rPr>
                <w:sz w:val="20"/>
              </w:rPr>
              <w:t>Abre o aviso de privacidade em camadas (Seção 3.8).</w:t>
            </w:r>
          </w:p>
        </w:tc>
      </w:tr>
    </w:tbl>
    <w:p w:rsidR="001F74C9" w:rsidRDefault="001F74C9"/>
    <w:p w:rsidR="001F74C9" w:rsidRDefault="005D6D25">
      <w:pPr>
        <w:pStyle w:val="Ttulo3"/>
      </w:pPr>
      <w:r>
        <w:t>3.6. Regras de negócio</w:t>
      </w:r>
    </w:p>
    <w:p w:rsidR="001F74C9" w:rsidRDefault="005D6D25">
      <w:pPr>
        <w:spacing w:after="60"/>
        <w:ind w:left="340"/>
      </w:pPr>
      <w:r>
        <w:t xml:space="preserve">1.  </w:t>
      </w:r>
      <w:r>
        <w:rPr>
          <w:b/>
        </w:rPr>
        <w:t>Convite único por execução.</w:t>
      </w:r>
      <w:r>
        <w:t xml:space="preserve"> Uma execução do serviço no X-VIA gera </w:t>
      </w:r>
      <w:r>
        <w:rPr>
          <w:b/>
        </w:rPr>
        <w:t>um</w:t>
      </w:r>
      <w:r>
        <w:t xml:space="preserve"> convite — tela </w:t>
      </w:r>
      <w:r>
        <w:rPr>
          <w:b/>
        </w:rPr>
        <w:t>ou</w:t>
      </w:r>
      <w:r>
        <w:t xml:space="preserve"> e-mail, nunca os dois. Não há retry, lembrete, pop-up recorrente ou segunda tentativa.</w:t>
      </w:r>
    </w:p>
    <w:p w:rsidR="001F74C9" w:rsidRDefault="005D6D25">
      <w:pPr>
        <w:spacing w:after="60"/>
        <w:ind w:left="340"/>
      </w:pPr>
      <w:r>
        <w:t xml:space="preserve">2.  </w:t>
      </w:r>
      <w:r>
        <w:rPr>
          <w:b/>
        </w:rPr>
        <w:t>Nunca bloquear.</w:t>
      </w:r>
      <w:r>
        <w:t xml:space="preserve"> Nenhum passo do fluxo pode impedir, atrasar ou condicionar a conclusão do serviço.</w:t>
      </w:r>
    </w:p>
    <w:p w:rsidR="001F74C9" w:rsidRDefault="005D6D25">
      <w:pPr>
        <w:spacing w:after="60"/>
        <w:ind w:left="340"/>
      </w:pPr>
      <w:r>
        <w:t xml:space="preserve">3.  </w:t>
      </w:r>
      <w:r>
        <w:rPr>
          <w:b/>
        </w:rPr>
        <w:t>Identificação vem do login, não de campo novo.</w:t>
      </w:r>
      <w:r>
        <w:t xml:space="preserve"> O cidadão já está logado no Portal para acessar o serviço via X-VIA — a avaliação usa a mesma sessão. O formulário </w:t>
      </w:r>
      <w:r>
        <w:rPr>
          <w:b/>
        </w:rPr>
        <w:t>não pede</w:t>
      </w:r>
      <w:r>
        <w:t xml:space="preserve"> CPF, nome, e-mail, telefone ou endereço. O vínculo com o cidadão é gravado como </w:t>
      </w:r>
      <w:r>
        <w:rPr>
          <w:rFonts w:ascii="Consolas" w:hAnsi="Consolas"/>
          <w:sz w:val="20"/>
        </w:rPr>
        <w:t>id_usuario</w:t>
      </w:r>
      <w:r>
        <w:t xml:space="preserve"> (identificador do IdP), não como CPF em claro.</w:t>
      </w:r>
    </w:p>
    <w:p w:rsidR="001F74C9" w:rsidRDefault="005D6D25">
      <w:pPr>
        <w:spacing w:after="60"/>
        <w:ind w:left="340"/>
      </w:pPr>
      <w:r>
        <w:t xml:space="preserve">4.  </w:t>
      </w:r>
      <w:r>
        <w:rPr>
          <w:b/>
        </w:rPr>
        <w:t>Uma única obrigatoriedade no formulário.</w:t>
      </w:r>
      <w:r>
        <w:t xml:space="preserve"> A nota é o único campo do formulário obrigatório. Nenhum campo adicional pode ser tornado obrigatório (ver Seção 3.7).</w:t>
      </w:r>
    </w:p>
    <w:p w:rsidR="001F74C9" w:rsidRDefault="005D6D25">
      <w:pPr>
        <w:spacing w:after="60"/>
        <w:ind w:left="340"/>
      </w:pPr>
      <w:r>
        <w:t xml:space="preserve">5.  </w:t>
      </w:r>
      <w:r>
        <w:rPr>
          <w:b/>
        </w:rPr>
        <w:t>Envio parcial é envio válido.</w:t>
      </w:r>
      <w:r>
        <w:t xml:space="preserve"> Nota preenchida e demais campos em branco é uma avaliação completa e deve ser gravada normalmente.</w:t>
      </w:r>
    </w:p>
    <w:p w:rsidR="001F74C9" w:rsidRDefault="005D6D25">
      <w:pPr>
        <w:spacing w:after="60"/>
        <w:ind w:left="340"/>
      </w:pPr>
      <w:r>
        <w:t xml:space="preserve">6.  </w:t>
      </w:r>
      <w:r>
        <w:rPr>
          <w:b/>
        </w:rPr>
        <w:t>Escopo obrigatório X-VIA.</w:t>
      </w:r>
      <w:r>
        <w:t xml:space="preserve"> A API de </w:t>
      </w:r>
      <w:proofErr w:type="spellStart"/>
      <w:r>
        <w:t>coleta</w:t>
      </w:r>
      <w:proofErr w:type="spellEnd"/>
      <w:r>
        <w:t xml:space="preserve"> de </w:t>
      </w:r>
      <w:proofErr w:type="spellStart"/>
      <w:r>
        <w:t>avaliação</w:t>
      </w:r>
      <w:proofErr w:type="spellEnd"/>
      <w:r>
        <w:t xml:space="preserve"> é para </w:t>
      </w:r>
      <w:proofErr w:type="spellStart"/>
      <w:r>
        <w:t>serviços</w:t>
      </w:r>
      <w:proofErr w:type="spellEnd"/>
      <w:r>
        <w:t xml:space="preserve"> digital (via </w:t>
      </w:r>
      <w:proofErr w:type="spellStart"/>
      <w:r>
        <w:t>orquestrador</w:t>
      </w:r>
      <w:proofErr w:type="spellEnd"/>
      <w:r>
        <w:t>).</w:t>
      </w:r>
    </w:p>
    <w:p w:rsidR="001F74C9" w:rsidRDefault="001F74C9">
      <w:pPr>
        <w:spacing w:after="60"/>
        <w:ind w:left="340"/>
      </w:pPr>
    </w:p>
    <w:p w:rsidR="001F74C9" w:rsidRDefault="005D6D25">
      <w:pPr>
        <w:spacing w:after="60"/>
        <w:ind w:left="340"/>
      </w:pPr>
      <w:r>
        <w:t xml:space="preserve">11.  </w:t>
      </w:r>
      <w:r>
        <w:rPr>
          <w:b/>
        </w:rPr>
        <w:t>Tela de agradecimento.</w:t>
      </w:r>
      <w:r>
        <w:t xml:space="preserve"> Após o envio: _"Obrigado. Sua opinião foi registrada."_ Sem nova pergunta, sem convite a compartilhar, sem redirecionamento automático.</w:t>
      </w:r>
    </w:p>
    <w:p w:rsidR="001F74C9" w:rsidRDefault="005D6D25">
      <w:pPr>
        <w:spacing w:after="60"/>
        <w:ind w:left="340"/>
      </w:pPr>
      <w:r>
        <w:t xml:space="preserve">12.  </w:t>
      </w:r>
      <w:r>
        <w:rPr>
          <w:b/>
        </w:rPr>
        <w:t>Link único do e-mail.</w:t>
      </w:r>
      <w:r>
        <w:t xml:space="preserve"> Assinado, validade limitada, uso único, invalidado se a avaliação já foi feita pela tela de retorno. Só grava com sessão autenticada do titular indicado no token.</w:t>
      </w:r>
    </w:p>
    <w:p w:rsidR="001F74C9" w:rsidRDefault="005D6D25">
      <w:pPr>
        <w:pStyle w:val="Ttulo3"/>
      </w:pPr>
      <w:r>
        <w:lastRenderedPageBreak/>
        <w:t>3.7. Extensibilidade do formulário</w:t>
      </w:r>
    </w:p>
    <w:p w:rsidR="005D6D25" w:rsidRDefault="005D6D25">
      <w:r>
        <w:t xml:space="preserve">O formulário </w:t>
      </w:r>
      <w:r>
        <w:rPr>
          <w:b/>
        </w:rPr>
        <w:t>não é fixo</w:t>
      </w:r>
      <w:r>
        <w:t xml:space="preserve">. A composição de campos é parametrizável — a gestão pode incluir, remover, reordenar ou reetiquetar campos sem alteração de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deploy</w:t>
      </w:r>
    </w:p>
    <w:p w:rsidR="001F74C9" w:rsidRDefault="005D6D25">
      <w:proofErr w:type="spellStart"/>
      <w:r>
        <w:t>Os</w:t>
      </w:r>
      <w:proofErr w:type="spellEnd"/>
      <w:r>
        <w:t xml:space="preserve"> </w:t>
      </w:r>
      <w:proofErr w:type="spellStart"/>
      <w:r>
        <w:t>campos</w:t>
      </w:r>
      <w:proofErr w:type="spellEnd"/>
      <w:r>
        <w:t xml:space="preserve"> da </w:t>
      </w:r>
      <w:proofErr w:type="spellStart"/>
      <w:r>
        <w:t>Seção</w:t>
      </w:r>
      <w:proofErr w:type="spellEnd"/>
      <w:r>
        <w:t xml:space="preserve"> 3.3 são o </w:t>
      </w:r>
      <w:r>
        <w:rPr>
          <w:b/>
        </w:rPr>
        <w:t>núcleo inicial</w:t>
      </w:r>
      <w:r>
        <w:t>: o ponto de partida com que o instrumento entra no ar, herdado do modelo federal.</w:t>
      </w:r>
    </w:p>
    <w:p w:rsidR="001F74C9" w:rsidRDefault="005D6D25">
      <w:r>
        <w:rPr>
          <w:b/>
        </w:rPr>
        <w:t>Regras que qualquer campo novo deve respeitar:</w:t>
      </w:r>
    </w:p>
    <w:p w:rsidR="001F74C9" w:rsidRDefault="005D6D25">
      <w:pPr>
        <w:spacing w:after="60"/>
        <w:ind w:left="340"/>
      </w:pPr>
      <w:r>
        <w:t xml:space="preserve">1.  </w:t>
      </w:r>
      <w:r>
        <w:rPr>
          <w:b/>
        </w:rPr>
        <w:t>Opcional sempre.</w:t>
      </w:r>
      <w:r>
        <w:t xml:space="preserve"> A nota permanece o único campo obrigatório. Nenhum campo adicionado pode bloquear o envio.</w:t>
      </w:r>
    </w:p>
    <w:p w:rsidR="001F74C9" w:rsidRDefault="005D6D25">
      <w:pPr>
        <w:spacing w:after="60"/>
        <w:ind w:left="340"/>
      </w:pPr>
      <w:r>
        <w:t xml:space="preserve">2.  </w:t>
      </w:r>
      <w:r>
        <w:rPr>
          <w:b/>
        </w:rPr>
        <w:t>Uso declarado antes da criação.</w:t>
      </w:r>
      <w:r>
        <w:t xml:space="preserve"> Todo campo precisa ter, no ato da criação, um indicador ou decisão de gestão que ele alimenta. Campo sem uso definido não entra — é coleta sem finalidade.</w:t>
      </w:r>
    </w:p>
    <w:p w:rsidR="001F74C9" w:rsidRDefault="005D6D25">
      <w:pPr>
        <w:spacing w:after="60"/>
        <w:ind w:left="340"/>
      </w:pPr>
      <w:r>
        <w:t xml:space="preserve">3.  </w:t>
      </w:r>
      <w:r>
        <w:rPr>
          <w:b/>
        </w:rPr>
        <w:t>Dado sensível exige avaliação prévia.</w:t>
      </w:r>
      <w:r>
        <w:t xml:space="preserve"> Campo que trate de dado sensível </w:t>
      </w:r>
      <w:proofErr w:type="spellStart"/>
      <w:r>
        <w:t>só</w:t>
      </w:r>
      <w:proofErr w:type="spellEnd"/>
      <w:r>
        <w:t xml:space="preserve"> entra após parecer do Encarregado (DPO), com bloco visualmente separado e aviso de finalidade, como já ocorre com a autodeclaração de PcD.</w:t>
      </w:r>
    </w:p>
    <w:p w:rsidR="001F74C9" w:rsidRDefault="005D6D25">
      <w:pPr>
        <w:spacing w:after="60"/>
        <w:ind w:left="340"/>
      </w:pPr>
      <w:r>
        <w:t xml:space="preserve">5.  </w:t>
      </w:r>
      <w:r>
        <w:rPr>
          <w:b/>
        </w:rPr>
        <w:t>Custo cognitivo é orçamento fechado.</w:t>
      </w:r>
      <w:r>
        <w:t xml:space="preserve"> Formulário longo derruba a taxa de resposta. Recomendação: no máximo </w:t>
      </w:r>
      <w:r>
        <w:rPr>
          <w:b/>
        </w:rPr>
        <w:t>6 campos visíveis</w:t>
      </w:r>
      <w:r>
        <w:t xml:space="preserve"> simultaneamente. Acima disso, avaliar substituir um campo existente em vez de somar mais um.</w:t>
      </w:r>
    </w:p>
    <w:p w:rsidR="001F74C9" w:rsidRDefault="005D6D25">
      <w:pPr>
        <w:spacing w:after="60"/>
        <w:ind w:left="340"/>
      </w:pPr>
      <w:r>
        <w:t xml:space="preserve">7.  </w:t>
      </w:r>
      <w:r>
        <w:rPr>
          <w:b/>
        </w:rPr>
        <w:t>Versionamento obrigatório.</w:t>
      </w:r>
      <w:r>
        <w:t xml:space="preserve"> Toda alteração da composição de campos gera nova </w:t>
      </w:r>
      <w:r>
        <w:rPr>
          <w:rFonts w:ascii="Consolas" w:hAnsi="Consolas"/>
          <w:sz w:val="20"/>
        </w:rPr>
        <w:t>versao_formulario</w:t>
      </w:r>
      <w:r>
        <w:t>, gravada em cada avaliação (Seção 3.4). Sem isso, não há como saber se uma queda na média veio do serviço ou de uma mudança no formulário.</w:t>
      </w:r>
    </w:p>
    <w:p w:rsidR="001F74C9" w:rsidRDefault="005D6D25">
      <w:pPr>
        <w:spacing w:after="60"/>
        <w:ind w:left="340"/>
      </w:pPr>
      <w:r>
        <w:t xml:space="preserve">8.  </w:t>
      </w:r>
      <w:r>
        <w:rPr>
          <w:b/>
        </w:rPr>
        <w:t>Avaliações antigas não são reescritas.</w:t>
      </w:r>
      <w:r>
        <w:t xml:space="preserve"> Campo removido preserva os dados já coletados; campo adicionado nasce vazio para o histórico.</w:t>
      </w:r>
    </w:p>
    <w:p w:rsidR="001F74C9" w:rsidRDefault="005D6D25">
      <w:pPr>
        <w:pStyle w:val="Ttulo2"/>
      </w:pPr>
      <w:bookmarkStart w:id="38" w:name="_Toc239085357"/>
      <w:r>
        <w:t>4. Escopo 2 — Apresentação da nota</w:t>
      </w:r>
      <w:bookmarkEnd w:id="38"/>
    </w:p>
    <w:p w:rsidR="001F74C9" w:rsidRDefault="005D6D25">
      <w:pPr>
        <w:pStyle w:val="Ttulo3"/>
      </w:pPr>
      <w:r>
        <w:t>4.1. Onde aparece</w:t>
      </w:r>
    </w:p>
    <w:p w:rsidR="005C0A58" w:rsidRDefault="005C0A58">
      <w:r>
        <w:t xml:space="preserve">Na </w:t>
      </w:r>
      <w:proofErr w:type="spellStart"/>
      <w:r>
        <w:t>página</w:t>
      </w:r>
      <w:proofErr w:type="spellEnd"/>
      <w:r>
        <w:t xml:space="preserve"> </w:t>
      </w:r>
      <w:proofErr w:type="spellStart"/>
      <w:r>
        <w:t>pública</w:t>
      </w:r>
      <w:proofErr w:type="spellEnd"/>
      <w:r>
        <w:t xml:space="preserve"> do </w:t>
      </w:r>
      <w:proofErr w:type="spellStart"/>
      <w:r>
        <w:t>serviço</w:t>
      </w:r>
      <w:proofErr w:type="spellEnd"/>
      <w:r>
        <w:t>.</w:t>
      </w:r>
    </w:p>
    <w:p w:rsidR="001F74C9" w:rsidRDefault="005C0A58">
      <w:r w:rsidRPr="005C0A58">
        <w:lastRenderedPageBreak/>
        <w:drawing>
          <wp:inline distT="0" distB="0" distL="0" distR="0" wp14:anchorId="215F9EFC" wp14:editId="0B72B1FE">
            <wp:extent cx="5612130" cy="249364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1F74C9" w:rsidRDefault="001F74C9">
      <w:pPr>
        <w:pBdr>
          <w:bottom w:val="single" w:sz="6" w:space="1" w:color="BFBFBF"/>
        </w:pBdr>
      </w:pPr>
    </w:p>
    <w:p w:rsidR="001F74C9" w:rsidRDefault="005D6D25">
      <w:pPr>
        <w:pStyle w:val="Ttulo2"/>
      </w:pPr>
      <w:bookmarkStart w:id="39" w:name="_Toc239085358"/>
      <w:r>
        <w:t>5. Escopo 3 — Triagem do comentário aberto</w:t>
      </w:r>
      <w:bookmarkEnd w:id="39"/>
    </w:p>
    <w:p w:rsidR="001F74C9" w:rsidRDefault="005D6D25">
      <w:r>
        <w:t xml:space="preserve">O comentário aberto é o único campo em que o cidadão pode, por iniciativa própria, escrever dado identificável de </w:t>
      </w:r>
      <w:r>
        <w:rPr>
          <w:b/>
        </w:rPr>
        <w:t>terceiros</w:t>
      </w:r>
      <w:r>
        <w:t xml:space="preserve"> (nome, CPF, telefone de outra pessoa, número de protocolo alheio) ou detalhes sensíveis que não deveriam entrar em painel gerencial. Por isso passa por triagem antes de qualquer uso.</w:t>
      </w:r>
    </w:p>
    <w:p w:rsidR="001F74C9" w:rsidRDefault="005D6D25">
      <w:pPr>
        <w:pStyle w:val="Ttulo2"/>
      </w:pPr>
      <w:bookmarkStart w:id="40" w:name="_Toc239085359"/>
      <w:r>
        <w:t>6. Escopo 4 — Painéis e indicadores</w:t>
      </w:r>
      <w:bookmarkEnd w:id="40"/>
    </w:p>
    <w:p w:rsidR="001F74C9" w:rsidRDefault="005D6D25">
      <w:pPr>
        <w:pStyle w:val="Ttulo3"/>
      </w:pPr>
      <w:r>
        <w:t>6.1. Visões</w:t>
      </w:r>
    </w:p>
    <w:p w:rsidR="001F74C9" w:rsidRDefault="005D6D25">
      <w:r>
        <w:t>Quatro recortes da mesma base. A tabela indica _qual área consome_ cada visão — a tradução disso em perfis e permissões é tratada fora deste documento (</w:t>
      </w:r>
      <w:r>
        <w:rPr>
          <w:color w:val="004F9F"/>
          <w:u w:val="single"/>
        </w:rPr>
        <w:t>P1</w:t>
      </w:r>
      <w:r>
        <w:t>).</w:t>
      </w:r>
    </w:p>
    <w:tbl>
      <w:tblPr>
        <w:tblStyle w:val="Table"/>
        <w:tblW w:w="0" w:type="auto"/>
        <w:tblLook w:val="04A0" w:firstRow="1" w:lastRow="0" w:firstColumn="1" w:lastColumn="0" w:noHBand="0" w:noVBand="1"/>
      </w:tblPr>
      <w:tblGrid>
        <w:gridCol w:w="3006"/>
        <w:gridCol w:w="3008"/>
        <w:gridCol w:w="3040"/>
      </w:tblGrid>
      <w:tr w:rsidR="001F74C9" w:rsidTr="001F74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4F9F"/>
          </w:tcPr>
          <w:p w:rsidR="001F74C9" w:rsidRDefault="005D6D25">
            <w:r>
              <w:rPr>
                <w:b/>
                <w:color w:val="FFFFFF"/>
                <w:sz w:val="20"/>
              </w:rPr>
              <w:t>Painel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4F9F"/>
          </w:tcPr>
          <w:p w:rsidR="001F74C9" w:rsidRDefault="005D6D25">
            <w:r>
              <w:rPr>
                <w:b/>
                <w:color w:val="FFFFFF"/>
                <w:sz w:val="20"/>
              </w:rPr>
              <w:t>Quem consome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4F9F"/>
          </w:tcPr>
          <w:p w:rsidR="001F74C9" w:rsidRDefault="005D6D25">
            <w:r>
              <w:rPr>
                <w:b/>
                <w:color w:val="FFFFFF"/>
                <w:sz w:val="20"/>
              </w:rPr>
              <w:t>Conteúdo</w:t>
            </w:r>
          </w:p>
        </w:tc>
      </w:tr>
      <w:tr w:rsidR="001F74C9" w:rsidTr="001F74C9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F74C9" w:rsidRDefault="005D6D25">
            <w:r>
              <w:rPr>
                <w:sz w:val="20"/>
              </w:rPr>
              <w:t>Público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F74C9" w:rsidRDefault="005D6D25">
            <w:r>
              <w:rPr>
                <w:sz w:val="20"/>
              </w:rPr>
              <w:t>Cidadão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F74C9" w:rsidRDefault="005D6D25">
            <w:r>
              <w:rPr>
                <w:sz w:val="20"/>
              </w:rPr>
              <w:t>Nota média, N e distribuição em barras, na página do serviço</w:t>
            </w:r>
          </w:p>
        </w:tc>
      </w:tr>
      <w:tr w:rsidR="001F74C9" w:rsidTr="001F74C9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9FC"/>
          </w:tcPr>
          <w:p w:rsidR="001F74C9" w:rsidRDefault="005D6D25">
            <w:r>
              <w:rPr>
                <w:sz w:val="20"/>
              </w:rPr>
              <w:t>Gestão do serviço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9FC"/>
          </w:tcPr>
          <w:p w:rsidR="001F74C9" w:rsidRDefault="005D6D25">
            <w:r>
              <w:rPr>
                <w:sz w:val="20"/>
              </w:rPr>
              <w:t>Órgão responsável, restrito aos próprios serviços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9FC"/>
          </w:tcPr>
          <w:p w:rsidR="001F74C9" w:rsidRDefault="005D6D25">
            <w:r>
              <w:rPr>
                <w:sz w:val="20"/>
              </w:rPr>
              <w:t xml:space="preserve">Nota média, % satisfeitos e N do mês e do mês anterior; distribuição; ranking dos motivos; últimos 50 comentários triados com filtro por nota; série temporal de 12 meses; distribuição por município; alertas ativos. Identificador do cidadão </w:t>
            </w:r>
            <w:r>
              <w:rPr>
                <w:b/>
                <w:sz w:val="20"/>
              </w:rPr>
              <w:t>não</w:t>
            </w:r>
            <w:r>
              <w:rPr>
                <w:sz w:val="20"/>
              </w:rPr>
              <w:t xml:space="preserve"> aparece no painel — permanece na base para exercício de direitos do titular e envio de e-mail transacional.</w:t>
            </w:r>
          </w:p>
        </w:tc>
      </w:tr>
      <w:tr w:rsidR="001F74C9" w:rsidTr="001F74C9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F74C9" w:rsidRDefault="005D6D25">
            <w:r>
              <w:rPr>
                <w:sz w:val="20"/>
              </w:rPr>
              <w:lastRenderedPageBreak/>
              <w:t>Triagem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F74C9" w:rsidRDefault="005D6D25">
            <w:r>
              <w:rPr>
                <w:sz w:val="20"/>
              </w:rPr>
              <w:t>Ouvidoria estadual, todos os órgãos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F74C9" w:rsidRDefault="005D6D25">
            <w:r>
              <w:rPr>
                <w:sz w:val="20"/>
              </w:rPr>
              <w:t>Fila de triagem; comentários críticos; encaminhamentos abertos por serviço</w:t>
            </w:r>
          </w:p>
        </w:tc>
      </w:tr>
      <w:tr w:rsidR="001F74C9" w:rsidTr="001F74C9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9FC"/>
          </w:tcPr>
          <w:p w:rsidR="001F74C9" w:rsidRDefault="005D6D25">
            <w:r>
              <w:rPr>
                <w:sz w:val="20"/>
              </w:rPr>
              <w:t>Consolidado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9FC"/>
          </w:tcPr>
          <w:p w:rsidR="001F74C9" w:rsidRDefault="005D6D25">
            <w:r>
              <w:rPr>
                <w:sz w:val="20"/>
              </w:rPr>
              <w:t>SETDIG, todos os órgãos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9FC"/>
          </w:tcPr>
          <w:p w:rsidR="001F74C9" w:rsidRDefault="005D6D25">
            <w:r>
              <w:rPr>
                <w:sz w:val="20"/>
              </w:rPr>
              <w:t>Ranking geral (10 melhores e 10 piores); % de serviços com meta atingida; volume total; serviços em alerta; comparativo por Secretaria</w:t>
            </w:r>
          </w:p>
        </w:tc>
      </w:tr>
    </w:tbl>
    <w:p w:rsidR="001F74C9" w:rsidRDefault="001F74C9"/>
    <w:p w:rsidR="001F74C9" w:rsidRDefault="005D6D25">
      <w:pPr>
        <w:pStyle w:val="Ttulo3"/>
      </w:pPr>
      <w:r>
        <w:t>6.2. Indicadores mínimos — disponíveis no go-live</w:t>
      </w:r>
    </w:p>
    <w:tbl>
      <w:tblPr>
        <w:tblStyle w:val="Table"/>
        <w:tblW w:w="0" w:type="auto"/>
        <w:tblLook w:val="04A0" w:firstRow="1" w:lastRow="0" w:firstColumn="1" w:lastColumn="0" w:noHBand="0" w:noVBand="1"/>
      </w:tblPr>
      <w:tblGrid>
        <w:gridCol w:w="1921"/>
        <w:gridCol w:w="2115"/>
        <w:gridCol w:w="2856"/>
        <w:gridCol w:w="2162"/>
      </w:tblGrid>
      <w:tr w:rsidR="001F74C9" w:rsidTr="001F74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4F9F"/>
          </w:tcPr>
          <w:p w:rsidR="001F74C9" w:rsidRDefault="005D6D25"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4F9F"/>
          </w:tcPr>
          <w:p w:rsidR="001F74C9" w:rsidRDefault="005D6D25">
            <w:r>
              <w:rPr>
                <w:b/>
                <w:color w:val="FFFFFF"/>
                <w:sz w:val="20"/>
              </w:rPr>
              <w:t>Indicador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4F9F"/>
          </w:tcPr>
          <w:p w:rsidR="001F74C9" w:rsidRDefault="005D6D25">
            <w:r>
              <w:rPr>
                <w:b/>
                <w:color w:val="FFFFFF"/>
                <w:sz w:val="20"/>
              </w:rPr>
              <w:t>Fórmula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4F9F"/>
          </w:tcPr>
          <w:p w:rsidR="001F74C9" w:rsidRDefault="005D6D25">
            <w:r>
              <w:rPr>
                <w:b/>
                <w:color w:val="FFFFFF"/>
                <w:sz w:val="20"/>
              </w:rPr>
              <w:t>Uso</w:t>
            </w:r>
          </w:p>
        </w:tc>
      </w:tr>
      <w:tr w:rsidR="001F74C9" w:rsidTr="001F74C9"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F74C9" w:rsidRDefault="005D6D25">
            <w:r>
              <w:rPr>
                <w:sz w:val="20"/>
              </w:rPr>
              <w:t>1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F74C9" w:rsidRDefault="005D6D25">
            <w:r>
              <w:rPr>
                <w:sz w:val="20"/>
              </w:rPr>
              <w:t>Nota média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F74C9" w:rsidRDefault="005D6D25">
            <w:r>
              <w:rPr>
                <w:sz w:val="20"/>
              </w:rPr>
              <w:t>Σ(nota) ÷ N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F74C9" w:rsidRDefault="005D6D25">
            <w:r>
              <w:rPr>
                <w:sz w:val="20"/>
              </w:rPr>
              <w:t>Número público na página do serviço</w:t>
            </w:r>
          </w:p>
        </w:tc>
      </w:tr>
      <w:tr w:rsidR="001F74C9" w:rsidTr="001F74C9"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9FC"/>
          </w:tcPr>
          <w:p w:rsidR="001F74C9" w:rsidRDefault="005D6D25">
            <w:r>
              <w:rPr>
                <w:sz w:val="20"/>
              </w:rPr>
              <w:t>2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9FC"/>
          </w:tcPr>
          <w:p w:rsidR="001F74C9" w:rsidRDefault="005D6D25">
            <w:r>
              <w:rPr>
                <w:sz w:val="20"/>
              </w:rPr>
              <w:t>% Satisfeitos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9FC"/>
          </w:tcPr>
          <w:p w:rsidR="001F74C9" w:rsidRDefault="005D6D25">
            <w:r>
              <w:rPr>
                <w:sz w:val="20"/>
              </w:rPr>
              <w:t>(n₄ + n₅) ÷ N × 100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9FC"/>
          </w:tcPr>
          <w:p w:rsidR="001F74C9" w:rsidRDefault="005D6D25">
            <w:r>
              <w:rPr>
                <w:sz w:val="20"/>
              </w:rPr>
              <w:t>Leitura executiva</w:t>
            </w:r>
          </w:p>
        </w:tc>
      </w:tr>
      <w:tr w:rsidR="001F74C9" w:rsidTr="001F74C9"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F74C9" w:rsidRDefault="005D6D25">
            <w:r>
              <w:rPr>
                <w:sz w:val="20"/>
              </w:rPr>
              <w:t>3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F74C9" w:rsidRDefault="005D6D25">
            <w:r>
              <w:rPr>
                <w:sz w:val="20"/>
              </w:rPr>
              <w:t>Distribuição das notas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F74C9" w:rsidRDefault="005D6D25">
            <w:r>
              <w:rPr>
                <w:sz w:val="20"/>
              </w:rPr>
              <w:t>%n₁, %n₂, %n₃, %n₄, %n₅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F74C9" w:rsidRDefault="005D6D25">
            <w:r>
              <w:rPr>
                <w:sz w:val="20"/>
              </w:rPr>
              <w:t>Diagnóstico — identifica cauda negativa</w:t>
            </w:r>
          </w:p>
        </w:tc>
      </w:tr>
      <w:tr w:rsidR="001F74C9" w:rsidTr="001F74C9"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9FC"/>
          </w:tcPr>
          <w:p w:rsidR="001F74C9" w:rsidRDefault="005D6D25">
            <w:r>
              <w:rPr>
                <w:sz w:val="20"/>
              </w:rPr>
              <w:t>4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9FC"/>
          </w:tcPr>
          <w:p w:rsidR="001F74C9" w:rsidRDefault="005D6D25">
            <w:r>
              <w:rPr>
                <w:sz w:val="20"/>
              </w:rPr>
              <w:t>Nº de avaliações no período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9FC"/>
          </w:tcPr>
          <w:p w:rsidR="001F74C9" w:rsidRDefault="005D6D25">
            <w:r>
              <w:rPr>
                <w:sz w:val="20"/>
              </w:rPr>
              <w:t>count()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9FC"/>
          </w:tcPr>
          <w:p w:rsidR="001F74C9" w:rsidRDefault="005D6D25">
            <w:r>
              <w:rPr>
                <w:sz w:val="20"/>
              </w:rPr>
              <w:t>Confiabilidade da amostra</w:t>
            </w:r>
          </w:p>
        </w:tc>
      </w:tr>
    </w:tbl>
    <w:p w:rsidR="001F74C9" w:rsidRDefault="001F74C9"/>
    <w:p w:rsidR="001F74C9" w:rsidRDefault="001F74C9"/>
    <w:p w:rsidR="001F74C9" w:rsidRDefault="001F74C9"/>
    <w:p w:rsidR="001F74C9" w:rsidRDefault="001F74C9">
      <w:pPr>
        <w:pBdr>
          <w:bottom w:val="single" w:sz="6" w:space="1" w:color="BFBFBF"/>
        </w:pBdr>
      </w:pPr>
    </w:p>
    <w:p w:rsidR="001F74C9" w:rsidRDefault="001F74C9"/>
    <w:p w:rsidR="001F74C9" w:rsidRDefault="005D6D25">
      <w:r>
        <w:t>Toda notificação registra data e hora do evento e segue a regra do Portal: e-mail enviado pela plataforma também chega como notificação.</w:t>
      </w:r>
    </w:p>
    <w:p w:rsidR="001F74C9" w:rsidRDefault="001F74C9">
      <w:pPr>
        <w:pBdr>
          <w:bottom w:val="single" w:sz="6" w:space="1" w:color="BFBFBF"/>
        </w:pBdr>
      </w:pPr>
    </w:p>
    <w:p w:rsidR="001F74C9" w:rsidRDefault="005D6D25">
      <w:pPr>
        <w:pStyle w:val="Ttulo2"/>
      </w:pPr>
      <w:bookmarkStart w:id="41" w:name="_Toc239085360"/>
      <w:r>
        <w:t>8. Pendências</w:t>
      </w:r>
      <w:bookmarkEnd w:id="41"/>
    </w:p>
    <w:p w:rsidR="001F74C9" w:rsidRDefault="005D6D25">
      <w:r>
        <w:t>Registradas conforme o Passo 6 da _Instrução — Como Criar um Pacote de Documentação TO BE_. Nenhuma foi resolvida por suposição.</w:t>
      </w:r>
    </w:p>
    <w:tbl>
      <w:tblPr>
        <w:tblStyle w:val="Table"/>
        <w:tblW w:w="0" w:type="auto"/>
        <w:tblLook w:val="04A0" w:firstRow="1" w:lastRow="0" w:firstColumn="1" w:lastColumn="0" w:noHBand="0" w:noVBand="1"/>
      </w:tblPr>
      <w:tblGrid>
        <w:gridCol w:w="2982"/>
        <w:gridCol w:w="3042"/>
        <w:gridCol w:w="3030"/>
      </w:tblGrid>
      <w:tr w:rsidR="001F74C9" w:rsidTr="005C0A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9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4F9F"/>
          </w:tcPr>
          <w:p w:rsidR="001F74C9" w:rsidRDefault="005D6D25"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30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4F9F"/>
          </w:tcPr>
          <w:p w:rsidR="001F74C9" w:rsidRDefault="005D6D25">
            <w:r>
              <w:rPr>
                <w:b/>
                <w:color w:val="FFFFFF"/>
                <w:sz w:val="20"/>
              </w:rPr>
              <w:t>Pendência</w:t>
            </w:r>
          </w:p>
        </w:tc>
        <w:tc>
          <w:tcPr>
            <w:tcW w:w="3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4F9F"/>
          </w:tcPr>
          <w:p w:rsidR="001F74C9" w:rsidRDefault="005D6D25">
            <w:r>
              <w:rPr>
                <w:b/>
                <w:color w:val="FFFFFF"/>
                <w:sz w:val="20"/>
              </w:rPr>
              <w:t>Responsável por resolver</w:t>
            </w:r>
          </w:p>
        </w:tc>
      </w:tr>
      <w:tr w:rsidR="001F74C9" w:rsidTr="005C0A58">
        <w:tc>
          <w:tcPr>
            <w:tcW w:w="29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F74C9" w:rsidRDefault="005D6D25">
            <w:r>
              <w:rPr>
                <w:sz w:val="20"/>
              </w:rPr>
              <w:t>P1</w:t>
            </w:r>
          </w:p>
        </w:tc>
        <w:tc>
          <w:tcPr>
            <w:tcW w:w="30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F74C9" w:rsidRDefault="005D6D25">
            <w:r>
              <w:rPr>
                <w:b/>
                <w:sz w:val="20"/>
              </w:rPr>
              <w:t>Perfis e controle de acesso.</w:t>
            </w:r>
            <w:r>
              <w:rPr>
                <w:sz w:val="20"/>
              </w:rPr>
              <w:t xml:space="preserve"> Este documento indica qual área consome cada informação, mas não modela perfis nem matriz de permissões. A definição será </w:t>
            </w:r>
            <w:r>
              <w:rPr>
                <w:sz w:val="20"/>
              </w:rPr>
              <w:lastRenderedPageBreak/>
              <w:t>feita em etapa própria, alinhada ao controle de acesso já existente no Portal Único.</w:t>
            </w:r>
          </w:p>
        </w:tc>
        <w:tc>
          <w:tcPr>
            <w:tcW w:w="3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F74C9" w:rsidRDefault="005D6D25">
            <w:r>
              <w:rPr>
                <w:sz w:val="20"/>
              </w:rPr>
              <w:lastRenderedPageBreak/>
              <w:t>SGD + Xvia</w:t>
            </w:r>
          </w:p>
        </w:tc>
      </w:tr>
      <w:tr w:rsidR="001F74C9" w:rsidTr="005C0A58">
        <w:tc>
          <w:tcPr>
            <w:tcW w:w="29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9FC"/>
          </w:tcPr>
          <w:p w:rsidR="001F74C9" w:rsidRDefault="005D6D25">
            <w:r>
              <w:rPr>
                <w:sz w:val="20"/>
              </w:rPr>
              <w:t>P2</w:t>
            </w:r>
          </w:p>
        </w:tc>
        <w:tc>
          <w:tcPr>
            <w:tcW w:w="30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9FC"/>
          </w:tcPr>
          <w:p w:rsidR="001F74C9" w:rsidRDefault="005D6D25" w:rsidP="005C0A58">
            <w:r>
              <w:rPr>
                <w:b/>
                <w:sz w:val="20"/>
              </w:rPr>
              <w:t>Escopo da parametrização de campos.</w:t>
            </w:r>
            <w:r>
              <w:rPr>
                <w:sz w:val="20"/>
              </w:rPr>
              <w:t xml:space="preserve"> Definir se a composição do formulário é </w:t>
            </w:r>
            <w:proofErr w:type="spellStart"/>
            <w:r w:rsidR="005C0A58">
              <w:rPr>
                <w:sz w:val="20"/>
              </w:rPr>
              <w:t>configurada</w:t>
            </w:r>
            <w:proofErr w:type="spellEnd"/>
            <w:r w:rsidR="005C0A58">
              <w:rPr>
                <w:sz w:val="20"/>
              </w:rPr>
              <w:t xml:space="preserve"> de forma global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serviço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quem</w:t>
            </w:r>
            <w:proofErr w:type="spellEnd"/>
            <w:r>
              <w:rPr>
                <w:sz w:val="20"/>
              </w:rPr>
              <w:t xml:space="preserve"> tem competência para alterar; e se há aprovação prévia antes de publicar nova versão.</w:t>
            </w:r>
          </w:p>
        </w:tc>
        <w:tc>
          <w:tcPr>
            <w:tcW w:w="3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9FC"/>
          </w:tcPr>
          <w:p w:rsidR="001F74C9" w:rsidRDefault="005D6D25">
            <w:r>
              <w:rPr>
                <w:sz w:val="20"/>
              </w:rPr>
              <w:t>SGD</w:t>
            </w:r>
            <w:r w:rsidR="005C0A58">
              <w:rPr>
                <w:sz w:val="20"/>
              </w:rPr>
              <w:t xml:space="preserve"> + XVIA</w:t>
            </w:r>
          </w:p>
        </w:tc>
      </w:tr>
      <w:tr w:rsidR="001F74C9" w:rsidTr="005C0A58">
        <w:tc>
          <w:tcPr>
            <w:tcW w:w="29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F74C9" w:rsidRDefault="005D6D25">
            <w:r>
              <w:rPr>
                <w:sz w:val="20"/>
              </w:rPr>
              <w:t>P3</w:t>
            </w:r>
          </w:p>
        </w:tc>
        <w:tc>
          <w:tcPr>
            <w:tcW w:w="30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F74C9" w:rsidRDefault="005D6D25">
            <w:r>
              <w:rPr>
                <w:b/>
                <w:sz w:val="20"/>
              </w:rPr>
              <w:t>Protótipo de tela.</w:t>
            </w:r>
            <w:r>
              <w:rPr>
                <w:sz w:val="20"/>
              </w:rPr>
              <w:t xml:space="preserve"> Não há protótipo de alta fidelidade da avaliação de serviço. Este documento entrega campos, comportamento e referência visual (Seção 9); o desenho será produzido pelo time de UX da Xvia e anexado na próxima versão.</w:t>
            </w:r>
          </w:p>
        </w:tc>
        <w:tc>
          <w:tcPr>
            <w:tcW w:w="3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F74C9" w:rsidRDefault="005D6D25">
            <w:r>
              <w:rPr>
                <w:sz w:val="20"/>
              </w:rPr>
              <w:t>UX Xvia</w:t>
            </w:r>
          </w:p>
        </w:tc>
      </w:tr>
      <w:tr w:rsidR="001F74C9" w:rsidTr="005C0A58">
        <w:tc>
          <w:tcPr>
            <w:tcW w:w="29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9FC"/>
          </w:tcPr>
          <w:p w:rsidR="001F74C9" w:rsidRDefault="005D6D25">
            <w:r>
              <w:rPr>
                <w:sz w:val="20"/>
              </w:rPr>
              <w:t>P4</w:t>
            </w:r>
          </w:p>
        </w:tc>
        <w:tc>
          <w:tcPr>
            <w:tcW w:w="30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9FC"/>
          </w:tcPr>
          <w:p w:rsidR="001F74C9" w:rsidRDefault="005D6D25" w:rsidP="005C0A58">
            <w:r>
              <w:rPr>
                <w:b/>
                <w:sz w:val="20"/>
              </w:rPr>
              <w:t>Retenção dos dados identificados.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9FC"/>
          </w:tcPr>
          <w:p w:rsidR="001F74C9" w:rsidRDefault="005D6D25">
            <w:r>
              <w:rPr>
                <w:sz w:val="20"/>
              </w:rPr>
              <w:t>Encarregado (DPO) + SGD</w:t>
            </w:r>
          </w:p>
        </w:tc>
      </w:tr>
      <w:tr w:rsidR="001F74C9" w:rsidTr="005C0A58">
        <w:tc>
          <w:tcPr>
            <w:tcW w:w="29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F74C9" w:rsidRDefault="005D6D25">
            <w:r>
              <w:rPr>
                <w:sz w:val="20"/>
              </w:rPr>
              <w:t>P5</w:t>
            </w:r>
          </w:p>
        </w:tc>
        <w:tc>
          <w:tcPr>
            <w:tcW w:w="30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F74C9" w:rsidRDefault="005D6D25">
            <w:r>
              <w:rPr>
                <w:b/>
                <w:sz w:val="20"/>
              </w:rPr>
              <w:t>Coexistência com o instrumento atual.</w:t>
            </w:r>
            <w:r>
              <w:rPr>
                <w:sz w:val="20"/>
              </w:rPr>
              <w:t xml:space="preserve"> O Portal já opera a avaliação da carta de serviço ("Esta informação foi útil? Sim/Não" e "Reportar erro"). São instrumentos distintos: um avalia a </w:t>
            </w:r>
            <w:r>
              <w:rPr>
                <w:b/>
                <w:sz w:val="20"/>
              </w:rPr>
              <w:t>informação publicada</w:t>
            </w:r>
            <w:r>
              <w:rPr>
                <w:sz w:val="20"/>
              </w:rPr>
              <w:t xml:space="preserve">, o outro avalia o </w:t>
            </w:r>
            <w:r>
              <w:rPr>
                <w:b/>
                <w:sz w:val="20"/>
              </w:rPr>
              <w:t>serviço prestado</w:t>
            </w:r>
            <w:r>
              <w:rPr>
                <w:sz w:val="20"/>
              </w:rPr>
              <w:t>. Precisam conviver na mesma página sem confundir o cidadão nem competir por atenção. Definir posicionamento e hierarquia visual.</w:t>
            </w:r>
          </w:p>
        </w:tc>
        <w:tc>
          <w:tcPr>
            <w:tcW w:w="3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F74C9" w:rsidRDefault="005D6D25">
            <w:r>
              <w:rPr>
                <w:sz w:val="20"/>
              </w:rPr>
              <w:t>UX Xvia + SGD</w:t>
            </w:r>
          </w:p>
        </w:tc>
      </w:tr>
      <w:tr w:rsidR="001F74C9" w:rsidTr="005C0A58">
        <w:tc>
          <w:tcPr>
            <w:tcW w:w="29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F74C9" w:rsidRDefault="005D6D25">
            <w:r>
              <w:rPr>
                <w:sz w:val="20"/>
              </w:rPr>
              <w:t>P7</w:t>
            </w:r>
          </w:p>
        </w:tc>
        <w:tc>
          <w:tcPr>
            <w:tcW w:w="30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F74C9" w:rsidRDefault="005D6D25">
            <w:r>
              <w:rPr>
                <w:b/>
                <w:sz w:val="20"/>
              </w:rPr>
              <w:t>Indicadores de contrato de gestão.</w:t>
            </w:r>
            <w:r>
              <w:rPr>
                <w:sz w:val="20"/>
              </w:rPr>
              <w:t xml:space="preserve"> As metas da Seção 6.4 são proposta do estudo, não pactuação formal. Precisam ser validadas com a área responsável pelo contrato de gestão.</w:t>
            </w:r>
          </w:p>
        </w:tc>
        <w:tc>
          <w:tcPr>
            <w:tcW w:w="3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F74C9" w:rsidRDefault="005D6D25">
            <w:r>
              <w:rPr>
                <w:sz w:val="20"/>
              </w:rPr>
              <w:t>SETDIG + SEGOV</w:t>
            </w:r>
          </w:p>
        </w:tc>
      </w:tr>
      <w:tr w:rsidR="001F74C9" w:rsidTr="005C0A58">
        <w:tc>
          <w:tcPr>
            <w:tcW w:w="29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9FC"/>
          </w:tcPr>
          <w:p w:rsidR="001F74C9" w:rsidRDefault="005D6D25">
            <w:r>
              <w:rPr>
                <w:sz w:val="20"/>
              </w:rPr>
              <w:t>P8</w:t>
            </w:r>
          </w:p>
        </w:tc>
        <w:tc>
          <w:tcPr>
            <w:tcW w:w="30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9FC"/>
          </w:tcPr>
          <w:p w:rsidR="001F74C9" w:rsidRDefault="005D6D25">
            <w:r>
              <w:rPr>
                <w:b/>
                <w:sz w:val="20"/>
              </w:rPr>
              <w:t>Taxa de resposta depende de contagem de conclusões.</w:t>
            </w:r>
            <w:r>
              <w:rPr>
                <w:sz w:val="20"/>
              </w:rPr>
              <w:t xml:space="preserve"> O indicador 5 (Seção 6.3) exige que o Portal saiba quantas vezes cada serviço foi concluído. Confirmar se esse </w:t>
            </w:r>
            <w:r>
              <w:rPr>
                <w:sz w:val="20"/>
              </w:rPr>
              <w:lastRenderedPageBreak/>
              <w:t>dado existe hoje e é confiável.</w:t>
            </w:r>
          </w:p>
        </w:tc>
        <w:tc>
          <w:tcPr>
            <w:tcW w:w="3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9FC"/>
          </w:tcPr>
          <w:p w:rsidR="001F74C9" w:rsidRDefault="005D6D25">
            <w:r>
              <w:rPr>
                <w:sz w:val="20"/>
              </w:rPr>
              <w:lastRenderedPageBreak/>
              <w:t>Xvia + STI</w:t>
            </w:r>
          </w:p>
        </w:tc>
      </w:tr>
      <w:tr w:rsidR="001F74C9" w:rsidTr="005C0A58">
        <w:tc>
          <w:tcPr>
            <w:tcW w:w="29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F74C9" w:rsidRDefault="005D6D25">
            <w:r>
              <w:rPr>
                <w:sz w:val="20"/>
              </w:rPr>
              <w:t>P11</w:t>
            </w:r>
          </w:p>
        </w:tc>
        <w:tc>
          <w:tcPr>
            <w:tcW w:w="30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F74C9" w:rsidRDefault="005D6D25">
            <w:r>
              <w:rPr>
                <w:b/>
                <w:sz w:val="20"/>
              </w:rPr>
              <w:t>Origem do nome do serviço e do órgão</w:t>
            </w:r>
            <w:r>
              <w:rPr>
                <w:sz w:val="20"/>
              </w:rPr>
              <w:t xml:space="preserve"> exibidos no cabeçalho do formulário — confirmar que vêm do mesmo cadastro usado pela carta de serviço, evitando divergência de nomenclatura.</w:t>
            </w:r>
          </w:p>
        </w:tc>
        <w:tc>
          <w:tcPr>
            <w:tcW w:w="3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F74C9" w:rsidRDefault="005D6D25">
            <w:r>
              <w:rPr>
                <w:sz w:val="20"/>
              </w:rPr>
              <w:t>Xvia</w:t>
            </w:r>
          </w:p>
        </w:tc>
      </w:tr>
      <w:tr w:rsidR="001F74C9" w:rsidTr="005C0A58">
        <w:tc>
          <w:tcPr>
            <w:tcW w:w="29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9FC"/>
          </w:tcPr>
          <w:p w:rsidR="001F74C9" w:rsidRDefault="005D6D25">
            <w:r>
              <w:rPr>
                <w:sz w:val="20"/>
              </w:rPr>
              <w:t>P12</w:t>
            </w:r>
          </w:p>
        </w:tc>
        <w:tc>
          <w:tcPr>
            <w:tcW w:w="30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9FC"/>
          </w:tcPr>
          <w:p w:rsidR="001F74C9" w:rsidRDefault="005D6D25">
            <w:r>
              <w:rPr>
                <w:b/>
                <w:sz w:val="20"/>
              </w:rPr>
              <w:t>Sinal de conclusão do serviço vindo do sistema do órgão para o X-VIA.</w:t>
            </w:r>
            <w:r>
              <w:rPr>
                <w:sz w:val="20"/>
              </w:rPr>
              <w:t xml:space="preserve"> O e-mail transacional com link único de avaliação (Seção 3.1) depende de o sistema do órgão avisar o X-VIA que o serviço terminou. Confirmar se todos os sistemas finalísticos cobertos pelo X-VIA publicam esse evento; definir padrão do evento; reunião com Maycon.</w:t>
            </w:r>
          </w:p>
        </w:tc>
        <w:tc>
          <w:tcPr>
            <w:tcW w:w="3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9FC"/>
          </w:tcPr>
          <w:p w:rsidR="001F74C9" w:rsidRDefault="005D6D25">
            <w:r>
              <w:rPr>
                <w:sz w:val="20"/>
              </w:rPr>
              <w:t>X-VIA + STI</w:t>
            </w:r>
          </w:p>
        </w:tc>
      </w:tr>
      <w:tr w:rsidR="001F74C9" w:rsidTr="005C0A58">
        <w:tc>
          <w:tcPr>
            <w:tcW w:w="29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F74C9" w:rsidRDefault="005D6D25">
            <w:r>
              <w:rPr>
                <w:sz w:val="20"/>
              </w:rPr>
              <w:t>P13</w:t>
            </w:r>
          </w:p>
        </w:tc>
        <w:tc>
          <w:tcPr>
            <w:tcW w:w="30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F74C9" w:rsidRDefault="005D6D25">
            <w:r>
              <w:rPr>
                <w:b/>
                <w:sz w:val="20"/>
              </w:rPr>
              <w:t>Política do link único do e-mail transacional.</w:t>
            </w:r>
            <w:r>
              <w:rPr>
                <w:sz w:val="20"/>
              </w:rPr>
              <w:t xml:space="preserve"> Definir validade do token, política de reenvio, opt-out específico do e-mail de avaliação (separado do opt-out geral do Portal), comportamento se o cidadão avaliar pela tela antes do e-mail chegar.</w:t>
            </w:r>
          </w:p>
        </w:tc>
        <w:tc>
          <w:tcPr>
            <w:tcW w:w="3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F74C9" w:rsidRDefault="005D6D25">
            <w:r>
              <w:rPr>
                <w:sz w:val="20"/>
              </w:rPr>
              <w:t>SGD + Xvia</w:t>
            </w:r>
          </w:p>
        </w:tc>
      </w:tr>
      <w:tr w:rsidR="001F74C9" w:rsidTr="005C0A58">
        <w:tc>
          <w:tcPr>
            <w:tcW w:w="29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9FC"/>
          </w:tcPr>
          <w:p w:rsidR="001F74C9" w:rsidRDefault="005D6D25">
            <w:r>
              <w:rPr>
                <w:sz w:val="20"/>
              </w:rPr>
              <w:t>P14</w:t>
            </w:r>
          </w:p>
        </w:tc>
        <w:tc>
          <w:tcPr>
            <w:tcW w:w="30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9FC"/>
          </w:tcPr>
          <w:p w:rsidR="001F74C9" w:rsidRDefault="005D6D25">
            <w:r>
              <w:rPr>
                <w:b/>
                <w:sz w:val="20"/>
              </w:rPr>
              <w:t>RIPD (Relatório de Impacto à Proteção de Dados).</w:t>
            </w:r>
            <w:r>
              <w:rPr>
                <w:sz w:val="20"/>
              </w:rPr>
              <w:t xml:space="preserve"> Obrigatório antes do go-live pela combinação de tratamento identificado em larga escala + dado sensível (PcD) + uso para retorno individual ao cidadão via e-mail.</w:t>
            </w:r>
          </w:p>
        </w:tc>
        <w:tc>
          <w:tcPr>
            <w:tcW w:w="3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9FC"/>
          </w:tcPr>
          <w:p w:rsidR="001F74C9" w:rsidRDefault="005D6D25">
            <w:r>
              <w:rPr>
                <w:sz w:val="20"/>
              </w:rPr>
              <w:t>Encarregado (DPO) + SGD</w:t>
            </w:r>
          </w:p>
        </w:tc>
      </w:tr>
      <w:tr w:rsidR="001F74C9" w:rsidTr="005C0A58">
        <w:tc>
          <w:tcPr>
            <w:tcW w:w="29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F74C9" w:rsidRDefault="005D6D25">
            <w:r>
              <w:rPr>
                <w:sz w:val="20"/>
              </w:rPr>
              <w:t>P15</w:t>
            </w:r>
          </w:p>
        </w:tc>
        <w:tc>
          <w:tcPr>
            <w:tcW w:w="30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F74C9" w:rsidRDefault="005D6D25">
            <w:r>
              <w:rPr>
                <w:b/>
                <w:sz w:val="20"/>
              </w:rPr>
              <w:t>Direitos do titular (art. 18 LGPD).</w:t>
            </w:r>
            <w:r>
              <w:rPr>
                <w:sz w:val="20"/>
              </w:rPr>
              <w:t xml:space="preserve"> Definir procedimento operacional para acesso, retificação, exportação e exclusão de avaliações pelo próprio cidadão logado. Prazo alvo: 15 dias corridos.</w:t>
            </w:r>
          </w:p>
        </w:tc>
        <w:tc>
          <w:tcPr>
            <w:tcW w:w="3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F74C9" w:rsidRDefault="005D6D25">
            <w:r>
              <w:rPr>
                <w:sz w:val="20"/>
              </w:rPr>
              <w:t>Encarregado (DPO) + SGD</w:t>
            </w:r>
          </w:p>
        </w:tc>
      </w:tr>
    </w:tbl>
    <w:p w:rsidR="001F74C9" w:rsidRDefault="001F74C9"/>
    <w:p w:rsidR="001F74C9" w:rsidRDefault="001F74C9">
      <w:pPr>
        <w:pBdr>
          <w:bottom w:val="single" w:sz="6" w:space="1" w:color="BFBFBF"/>
        </w:pBdr>
      </w:pPr>
    </w:p>
    <w:p w:rsidR="001F74C9" w:rsidRDefault="005D6D25">
      <w:pPr>
        <w:pStyle w:val="Ttulo2"/>
      </w:pPr>
      <w:bookmarkStart w:id="42" w:name="_Toc239085361"/>
      <w:r>
        <w:lastRenderedPageBreak/>
        <w:t>9. Anexos — Referências</w:t>
      </w:r>
      <w:bookmarkEnd w:id="42"/>
    </w:p>
    <w:p w:rsidR="001F74C9" w:rsidRDefault="005D6D25">
      <w:pPr>
        <w:pStyle w:val="Ttulo3"/>
      </w:pPr>
      <w:r>
        <w:t>9.1. Referência visual para o UX</w:t>
      </w:r>
    </w:p>
    <w:p w:rsidR="001F74C9" w:rsidRDefault="005C0A58">
      <w:proofErr w:type="spellStart"/>
      <w:r>
        <w:t>Não</w:t>
      </w:r>
      <w:proofErr w:type="spellEnd"/>
      <w:r>
        <w:t xml:space="preserve"> </w:t>
      </w:r>
      <w:proofErr w:type="spellStart"/>
      <w:r>
        <w:t>há</w:t>
      </w:r>
      <w:proofErr w:type="spellEnd"/>
      <w:r>
        <w:t xml:space="preserve"> </w:t>
      </w:r>
      <w:proofErr w:type="spellStart"/>
      <w:r>
        <w:t>protótipo</w:t>
      </w:r>
      <w:proofErr w:type="spellEnd"/>
      <w:r>
        <w:t xml:space="preserve"> </w:t>
      </w:r>
      <w:proofErr w:type="spellStart"/>
      <w:r>
        <w:t>próprio</w:t>
      </w:r>
      <w:proofErr w:type="spellEnd"/>
      <w:r w:rsidR="005D6D25">
        <w:t>. O desenho de referência é o formulário federal em produção:</w:t>
      </w:r>
    </w:p>
    <w:p w:rsidR="0057242E" w:rsidRDefault="005D6D25">
      <w:pPr>
        <w:spacing w:after="60"/>
        <w:ind w:left="340"/>
      </w:pPr>
      <w:r>
        <w:t xml:space="preserve">•  </w:t>
      </w:r>
      <w:hyperlink r:id="rId7" w:history="1">
        <w:proofErr w:type="spellStart"/>
        <w:r w:rsidRPr="0057242E">
          <w:rPr>
            <w:rStyle w:val="Hyperlink"/>
            <w:b/>
          </w:rPr>
          <w:t>Ferrame</w:t>
        </w:r>
        <w:r w:rsidR="0057242E" w:rsidRPr="0057242E">
          <w:rPr>
            <w:rStyle w:val="Hyperlink"/>
            <w:b/>
          </w:rPr>
          <w:t>nta</w:t>
        </w:r>
        <w:proofErr w:type="spellEnd"/>
        <w:r w:rsidR="0057242E" w:rsidRPr="0057242E">
          <w:rPr>
            <w:rStyle w:val="Hyperlink"/>
            <w:b/>
          </w:rPr>
          <w:t xml:space="preserve"> de </w:t>
        </w:r>
        <w:proofErr w:type="spellStart"/>
        <w:r w:rsidR="0057242E" w:rsidRPr="0057242E">
          <w:rPr>
            <w:rStyle w:val="Hyperlink"/>
            <w:b/>
          </w:rPr>
          <w:t>Avaliação</w:t>
        </w:r>
        <w:proofErr w:type="spellEnd"/>
        <w:r w:rsidR="0057242E" w:rsidRPr="0057242E">
          <w:rPr>
            <w:rStyle w:val="Hyperlink"/>
            <w:b/>
          </w:rPr>
          <w:t xml:space="preserve"> — g</w:t>
        </w:r>
        <w:r w:rsidR="0057242E" w:rsidRPr="0057242E">
          <w:rPr>
            <w:rStyle w:val="Hyperlink"/>
            <w:b/>
          </w:rPr>
          <w:t>o</w:t>
        </w:r>
        <w:r w:rsidR="0057242E" w:rsidRPr="0057242E">
          <w:rPr>
            <w:rStyle w:val="Hyperlink"/>
            <w:b/>
          </w:rPr>
          <w:t>v.br</w:t>
        </w:r>
      </w:hyperlink>
      <w:r>
        <w:t xml:space="preserve"> </w:t>
      </w:r>
    </w:p>
    <w:p w:rsidR="001F74C9" w:rsidRDefault="005D6D25" w:rsidP="005C0A58">
      <w:pPr>
        <w:rPr>
          <w:b/>
        </w:rPr>
      </w:pPr>
      <w:proofErr w:type="spellStart"/>
      <w:r>
        <w:rPr>
          <w:b/>
        </w:rPr>
        <w:t>Figura</w:t>
      </w:r>
      <w:proofErr w:type="spellEnd"/>
      <w:r>
        <w:rPr>
          <w:b/>
        </w:rPr>
        <w:t xml:space="preserve"> 1 —</w:t>
      </w:r>
      <w:r w:rsidR="005C0A58">
        <w:rPr>
          <w:b/>
        </w:rPr>
        <w:t xml:space="preserve"> </w:t>
      </w:r>
      <w:proofErr w:type="spellStart"/>
      <w:r w:rsidR="005C0A58">
        <w:rPr>
          <w:b/>
        </w:rPr>
        <w:t>F</w:t>
      </w:r>
      <w:r>
        <w:rPr>
          <w:b/>
        </w:rPr>
        <w:t>ormulário</w:t>
      </w:r>
      <w:proofErr w:type="spellEnd"/>
      <w:r>
        <w:rPr>
          <w:b/>
        </w:rPr>
        <w:t>.</w:t>
      </w:r>
    </w:p>
    <w:p w:rsidR="005C0A58" w:rsidRDefault="005C0A58" w:rsidP="005C0A58">
      <w:pPr>
        <w:jc w:val="center"/>
      </w:pPr>
      <w:r w:rsidRPr="005C0A58">
        <w:drawing>
          <wp:inline distT="0" distB="0" distL="0" distR="0" wp14:anchorId="0F60A1D9" wp14:editId="4E225DB3">
            <wp:extent cx="2941983" cy="343364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47583" cy="3440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74C9" w:rsidRDefault="005D6D25">
      <w:r>
        <w:t>Três pontos de atenção para o UX:</w:t>
      </w:r>
    </w:p>
    <w:p w:rsidR="001F74C9" w:rsidRDefault="005D6D25">
      <w:pPr>
        <w:spacing w:after="60"/>
        <w:ind w:left="340"/>
      </w:pPr>
      <w:r>
        <w:t xml:space="preserve">•  As figuras são </w:t>
      </w:r>
      <w:r>
        <w:rPr>
          <w:b/>
        </w:rPr>
        <w:t>referência de estrutura e sequência</w:t>
      </w:r>
      <w:r>
        <w:t>, não de estilo. O desenho deve seguir o design system do Portal Único, não a identidade visual do gov.br.</w:t>
      </w:r>
    </w:p>
    <w:p w:rsidR="001F74C9" w:rsidRDefault="005D6D25">
      <w:pPr>
        <w:pStyle w:val="Ttulo3"/>
      </w:pPr>
      <w:r>
        <w:t>9.3. Estudo de origem</w:t>
      </w:r>
    </w:p>
    <w:p w:rsidR="001F74C9" w:rsidRDefault="005D6D25">
      <w:r>
        <w:t>Todo o conteúdo deste document</w:t>
      </w:r>
      <w:r w:rsidR="005C0A58">
        <w:t xml:space="preserve">o deriva do </w:t>
      </w:r>
      <w:proofErr w:type="spellStart"/>
      <w:r w:rsidR="005C0A58">
        <w:t>estudo</w:t>
      </w:r>
      <w:proofErr w:type="spellEnd"/>
      <w:r w:rsidR="005C0A58">
        <w:t xml:space="preserve"> </w:t>
      </w:r>
      <w:proofErr w:type="spellStart"/>
      <w:r w:rsidR="005C0A58">
        <w:t>publicado</w:t>
      </w:r>
      <w:proofErr w:type="spellEnd"/>
      <w:r w:rsidR="005C0A58">
        <w:t xml:space="preserve"> </w:t>
      </w:r>
      <w:proofErr w:type="spellStart"/>
      <w:r w:rsidR="005C0A58">
        <w:t>em</w:t>
      </w:r>
      <w:proofErr w:type="spellEnd"/>
      <w:r w:rsidR="005C0A58">
        <w:t>:</w:t>
      </w:r>
    </w:p>
    <w:p w:rsidR="005C0A58" w:rsidRDefault="005C0A58">
      <w:hyperlink r:id="rId9" w:history="1">
        <w:r w:rsidRPr="0019546A">
          <w:rPr>
            <w:rStyle w:val="Hyperlink"/>
          </w:rPr>
          <w:t>https://fabioramos-02.github.io/avaliacao-de-servicos/</w:t>
        </w:r>
      </w:hyperlink>
    </w:p>
    <w:p w:rsidR="005C0A58" w:rsidRDefault="005C0A58"/>
    <w:sectPr w:rsidR="005C0A58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80D4C10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C920BB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ED68C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</w:compat>
  <w:rsids>
    <w:rsidRoot w:val="001F74C9"/>
    <w:rsid w:val="001F74C9"/>
    <w:rsid w:val="0057242E"/>
    <w:rsid w:val="005C0A58"/>
    <w:rsid w:val="005D6D25"/>
    <w:rsid w:val="00657BD7"/>
    <w:rsid w:val="00822804"/>
    <w:rsid w:val="009A6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6A8C8E"/>
  <w15:docId w15:val="{CA1E1F05-4DCA-45DD-B178-9A8B0F9D9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Corpodetexto"/>
    <w:qFormat/>
    <w:pPr>
      <w:keepNext/>
      <w:keepLines/>
    </w:pPr>
    <w:rPr>
      <w:sz w:val="24"/>
      <w:szCs w:val="24"/>
    </w:rPr>
  </w:style>
  <w:style w:type="paragraph" w:styleId="Data">
    <w:name w:val="Date"/>
    <w:basedOn w:val="Ttulo"/>
    <w:next w:val="Corpodetexto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uiPriority w:val="99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Sumrio1">
    <w:name w:val="toc 1"/>
    <w:basedOn w:val="Normal"/>
    <w:next w:val="Normal"/>
    <w:autoRedefine/>
    <w:uiPriority w:val="39"/>
    <w:unhideWhenUsed/>
    <w:rsid w:val="005D6D25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5D6D25"/>
    <w:pPr>
      <w:spacing w:after="100"/>
      <w:ind w:left="240"/>
    </w:pPr>
  </w:style>
  <w:style w:type="character" w:styleId="HiperlinkVisitado">
    <w:name w:val="FollowedHyperlink"/>
    <w:basedOn w:val="Fontepargpadro"/>
    <w:rsid w:val="0057242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www.gov.br/governodigital/pt-br/plataformas-e-servicos-digitais/ferramenta-de-avaliaca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fabioramos-02.github.io/avaliacao-de-servico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11</Pages>
  <Words>2297</Words>
  <Characters>12407</Characters>
  <Application>Microsoft Office Word</Application>
  <DocSecurity>0</DocSecurity>
  <Lines>103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Fabio Willian Lima Ramos</cp:lastModifiedBy>
  <cp:revision>6</cp:revision>
  <dcterms:created xsi:type="dcterms:W3CDTF">2026-08-21T21:00:00Z</dcterms:created>
  <dcterms:modified xsi:type="dcterms:W3CDTF">2026-08-31T20:16:00Z</dcterms:modified>
</cp:coreProperties>
</file>