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44061"/>
        </w:rPr>
        <w:t>Relatório consolidado — os 14 formulários no X-Forms de DEV</w:t>
      </w:r>
    </w:p>
    <w:p>
      <w:r>
        <w:rPr>
          <w:b/>
          <w:color w:val="244061"/>
        </w:rPr>
        <w:t>Secretaria-Executiva de Transformação Digital — SETDIG</w:t>
      </w:r>
      <w:r>
        <w:rPr>
          <w:color w:val="244061"/>
        </w:rPr>
        <w:t xml:space="preserve"> · Superintendência de Governo Digital (SGD)</w:t>
      </w:r>
    </w:p>
    <w:p>
      <w:r>
        <w:rPr>
          <w:b/>
          <w:color w:val="244061"/>
        </w:rPr>
        <w:t>Data:</w:t>
      </w:r>
      <w:r>
        <w:rPr>
          <w:color w:val="244061"/>
        </w:rPr>
        <w:t xml:space="preserve"> 27/10/2026</w:t>
      </w:r>
    </w:p>
    <w:p>
      <w:r>
        <w:rPr>
          <w:b/>
          <w:color w:val="244061"/>
        </w:rPr>
        <w:t>Para:</w:t>
      </w:r>
      <w:r>
        <w:rPr>
          <w:color w:val="244061"/>
        </w:rPr>
        <w:t xml:space="preserve"> Leonardo (X-VIA) e os órgãos donos dos serviços</w:t>
      </w:r>
    </w:p>
    <w:p>
      <w:pPr>
        <w:pStyle w:val="Heading2"/>
      </w:pPr>
      <w:r>
        <w:rPr>
          <w:color w:val="244061"/>
        </w:rPr>
        <w:t>Resumo</w:t>
      </w:r>
    </w:p>
    <w:p>
      <w:pPr>
        <w:pStyle w:val="ListBullet"/>
      </w:pPr>
      <w:r>
        <w:rPr>
          <w:rFonts w:ascii="Consolas" w:hAnsi="Consolas"/>
          <w:color w:val="244061"/>
          <w:sz w:val="18"/>
        </w:rPr>
        <w:t>[FATO]</w:t>
      </w:r>
      <w:r>
        <w:rPr>
          <w:color w:val="244061"/>
        </w:rPr>
        <w:t xml:space="preserve"> Os 14 formulários do estudo estão no </w:t>
      </w:r>
      <w:r>
        <w:rPr>
          <w:b/>
          <w:color w:val="244061"/>
        </w:rPr>
        <w:t>X-Forms</w:t>
      </w:r>
      <w:r>
        <w:rPr>
          <w:color w:val="244061"/>
        </w:rPr>
        <w:t xml:space="preserve"> e no </w:t>
      </w:r>
      <w:r>
        <w:rPr>
          <w:b/>
          <w:color w:val="244061"/>
        </w:rPr>
        <w:t>X-Flows</w:t>
      </w:r>
      <w:r>
        <w:rPr>
          <w:color w:val="244061"/>
        </w:rPr>
        <w:t xml:space="preserve"> de DEV, melhorados pelo padrão do estudo. O X-Forms monta o formulário; o X-Flows recebe a resposta, gera um protocolo e grava o pedido numa tabela.</w:t>
      </w:r>
    </w:p>
    <w:p>
      <w:pPr>
        <w:pStyle w:val="ListBullet"/>
      </w:pPr>
      <w:r>
        <w:rPr>
          <w:rFonts w:ascii="Consolas" w:hAnsi="Consolas"/>
          <w:color w:val="244061"/>
          <w:sz w:val="18"/>
        </w:rPr>
        <w:t>[FATO]</w:t>
      </w:r>
      <w:r>
        <w:rPr>
          <w:color w:val="244061"/>
        </w:rPr>
        <w:t xml:space="preserve"> Cada formulário recebeu pelo menos um envio de teste, e o fluxo rodou sem erro nos 14.</w:t>
      </w:r>
    </w:p>
    <w:p>
      <w:pPr>
        <w:pStyle w:val="ListBullet"/>
      </w:pPr>
      <w:r>
        <w:rPr>
          <w:rFonts w:ascii="Consolas" w:hAnsi="Consolas"/>
          <w:color w:val="244061"/>
          <w:sz w:val="18"/>
        </w:rPr>
        <w:t>[FATO]</w:t>
      </w:r>
      <w:r>
        <w:rPr>
          <w:color w:val="244061"/>
        </w:rPr>
        <w:t xml:space="preserve"> Os 14 serviços do catálogo de DEV já abrem o formulário: o Link do Serviço foi gravado no CMS em 27/10/2026. Ver Serviços em DEV.</w:t>
      </w:r>
    </w:p>
    <w:p>
      <w:pPr>
        <w:pStyle w:val="ListBullet"/>
      </w:pPr>
      <w:r>
        <w:rPr>
          <w:rFonts w:ascii="Consolas" w:hAnsi="Consolas"/>
          <w:color w:val="244061"/>
          <w:sz w:val="18"/>
        </w:rPr>
        <w:t>[FATO]</w:t>
      </w:r>
      <w:r>
        <w:rPr>
          <w:color w:val="244061"/>
        </w:rPr>
        <w:t xml:space="preserve"> O pedido ainda não chega a ninguém: falta definir o destino de cada órgão e criar a conexão de e-mail no X-Flows.</w:t>
      </w:r>
    </w:p>
    <w:p>
      <w:pPr>
        <w:pStyle w:val="ListBullet"/>
      </w:pPr>
      <w:r>
        <w:rPr>
          <w:color w:val="244061"/>
        </w:rPr>
        <w:t>Os órgãos precisam responder perguntas sobre os próprios serviços. A lista está no fim, por órgão.</w:t>
      </w:r>
    </w:p>
    <w:p>
      <w:pPr>
        <w:pStyle w:val="Heading2"/>
      </w:pPr>
      <w:r>
        <w:rPr>
          <w:color w:val="244061"/>
        </w:rPr>
        <w:t>Os 14 formulários</w:t>
      </w:r>
    </w:p>
    <w:p>
      <w:r>
        <w:rPr>
          <w:color w:val="244061"/>
        </w:rPr>
        <w:t xml:space="preserve">Endereço em DEV: </w:t>
      </w:r>
      <w:r>
        <w:rPr>
          <w:rFonts w:ascii="Consolas" w:hAnsi="Consolas"/>
          <w:color w:val="244061"/>
          <w:sz w:val="18"/>
        </w:rPr>
        <w:t>https://portal.dev.pgd.ms.gov.br/app/x-forms/forms/&lt;slug&gt;?serviceSlug=&lt;serviço&gt;</w:t>
      </w:r>
      <w:r>
        <w:rPr>
          <w:color w:val="244061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62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#</w:t>
            </w:r>
          </w:p>
        </w:tc>
        <w:tc>
          <w:tcPr>
            <w:tcW w:type="dxa" w:w="1239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Órgão</w:t>
            </w:r>
          </w:p>
        </w:tc>
        <w:tc>
          <w:tcPr>
            <w:tcW w:type="dxa" w:w="3210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Formulário (slug em DEV)</w:t>
            </w:r>
          </w:p>
        </w:tc>
        <w:tc>
          <w:tcPr>
            <w:tcW w:type="dxa" w:w="1814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Páginas v1 → v2</w:t>
            </w:r>
          </w:p>
        </w:tc>
        <w:tc>
          <w:tcPr>
            <w:tcW w:type="dxa" w:w="2146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Teste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SETDIG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solicitar-acesso-wordpress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7 → 5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2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Fundect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pedir-diarias-passagens-fundect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3 → 3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3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cadastrar-responsavel-tecnico-agricola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3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4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cadastrar-industria-agrotoxicos-e-saniagro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4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tela, 2 caminhos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5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cancelar-registro-empresa-agrotoxicos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4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6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obter-selo-arte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5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7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FCMS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pedir-certidao-negativa-tombamento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3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8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cadastrar-veterinario-aves-suinos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2 → 6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9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FCMS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cadastrar-biblioteca-publica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3 → 7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10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cadastrar-empresa-integradora-aves-suinos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2 → 5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11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pedir-certificado-destruicao-soqueira-algodao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3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pela tela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12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CGP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pedir-copia-laudo-pericial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3 → 6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13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IAGRO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cadastrar-laboratorio-sanidade-avicola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 → 5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  <w:tr>
        <w:tc>
          <w:tcPr>
            <w:tcW w:type="dxa" w:w="66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14</w:t>
            </w:r>
          </w:p>
        </w:tc>
        <w:tc>
          <w:tcPr>
            <w:tcW w:type="dxa" w:w="12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SEJUSP</w:t>
            </w:r>
          </w:p>
        </w:tc>
        <w:tc>
          <w:tcPr>
            <w:tcW w:type="dxa" w:w="321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pedir-certidao-atendimento-190-193</w:t>
            </w:r>
          </w:p>
        </w:tc>
        <w:tc>
          <w:tcPr>
            <w:tcW w:type="dxa" w:w="1814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2 → 6</w:t>
            </w:r>
          </w:p>
        </w:tc>
        <w:tc>
          <w:tcPr>
            <w:tcW w:type="dxa" w:w="2146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por API</w:t>
            </w:r>
          </w:p>
        </w:tc>
      </w:tr>
    </w:tbl>
    <w:p/>
    <w:p>
      <w:r>
        <w:rPr>
          <w:color w:val="244061"/>
        </w:rPr>
        <w:t>"Pela tela" quer dizer preenchido no portal, como o cidadão faz. "Por API" quer dizer que a resposta foi enviada direto ao portal, sem passar pela tela. Esse teste confirma o caminho até a tabela, mas não as mensagens de erro nem os outros caminhos das perguntas condicionais.</w:t>
      </w:r>
    </w:p>
    <w:p>
      <w:pPr>
        <w:pStyle w:val="Heading2"/>
      </w:pPr>
      <w:r>
        <w:rPr>
          <w:color w:val="244061"/>
        </w:rPr>
        <w:t>O que mudou em todos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132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Mudança</w:t>
            </w:r>
          </w:p>
        </w:tc>
        <w:tc>
          <w:tcPr>
            <w:tcW w:type="dxa" w:w="4939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Por quê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Uma página por assunto, com barra de progresso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Quem preenche sabe onde está e quanto falta (GOV.UK, gov.br)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Nome, CPF e e-mail vêm da conta gov.br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Não pedir o que o governo já tem (Lei 14.129/2021)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Campo que só vale num caso só aparece nesse caso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Ex.: procuração só para quem representa outra pessoa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Mensagem de erro que diz como corrigir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"Digite o CNPJ com 14 números." no lugar de "Campo obrigatório"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Máscara e validação em CPF, CNPJ, CEP e telefone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Menos erro de digitação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Anexo diz formato e tamanho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PDF (ou foto) até 5 MB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"Depois do envio" na última página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O portal não mostra a tela final do SurveyJS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E-mail para a resposta, onde a v1 não tinha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Hoje o órgão não tinha como responder</w:t>
            </w:r>
          </w:p>
        </w:tc>
      </w:tr>
      <w:tr>
        <w:tc>
          <w:tcPr>
            <w:tcW w:type="dxa" w:w="4132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RG removido onde já se pede CPF (05, 07, 08, 12; Fundect no 02)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 xml:space="preserve">O CPF basta para identificar a pessoa (Lei 14.534/2023). </w:t>
            </w:r>
            <w:r>
              <w:rPr>
                <w:b/>
                <w:color w:val="244061"/>
                <w:sz w:val="17"/>
              </w:rPr>
              <w:t>Cada órgão precisa confirmar.</w:t>
            </w:r>
          </w:p>
        </w:tc>
      </w:tr>
    </w:tbl>
    <w:p/>
    <w:p>
      <w:r>
        <w:rPr>
          <w:color w:val="244061"/>
        </w:rPr>
        <w:t>A tabela do X-Flows guarda só o que serve para acompanhar o pedido. CPF, telefone, endereço completo e dados bancários ficam só nas respostas do X-Forms (LGPD, art. 6º, III).</w:t>
      </w:r>
    </w:p>
    <w:p>
      <w:pPr>
        <w:pStyle w:val="Heading2"/>
      </w:pPr>
      <w:r>
        <w:rPr>
          <w:color w:val="244061"/>
        </w:rPr>
        <w:t>Para o Leonardo (X-VIA)</w:t>
      </w:r>
    </w:p>
    <w:p>
      <w:pPr>
        <w:pStyle w:val="Heading3"/>
      </w:pPr>
      <w:r>
        <w:rPr>
          <w:color w:val="244061"/>
        </w:rPr>
        <w:t>Para colocar os serviços no ar</w:t>
      </w:r>
    </w:p>
    <w:p>
      <w:pPr>
        <w:pStyle w:val="ListNumber"/>
      </w:pPr>
      <w:r>
        <w:rPr>
          <w:color w:val="244061"/>
        </w:rPr>
        <w:t>~~</w:t>
      </w:r>
      <w:r>
        <w:rPr>
          <w:b/>
          <w:color w:val="244061"/>
        </w:rPr>
        <w:t>Catálogo.</w:t>
      </w:r>
      <w:r>
        <w:rPr>
          <w:color w:val="244061"/>
        </w:rPr>
        <w:t>~~ Feito em 27/10/2026: os 14 serviços já existiam no CMS de DEV e receberam o Link do Serviço. Ver Serviços em DEV.</w:t>
      </w:r>
    </w:p>
    <w:p>
      <w:pPr>
        <w:pStyle w:val="ListNumber"/>
      </w:pPr>
      <w:r>
        <w:rPr>
          <w:b/>
          <w:color w:val="244061"/>
        </w:rPr>
        <w:t>Destino do pedido.</w:t>
      </w:r>
      <w:r>
        <w:rPr>
          <w:color w:val="244061"/>
        </w:rPr>
        <w:t xml:space="preserve"> Criar a conexão de e-mail (Gmail) no X-Flows de DEV, ou outra saída, e combinar com cada órgão quem recebe.</w:t>
      </w:r>
    </w:p>
    <w:p>
      <w:pPr>
        <w:pStyle w:val="ListNumber"/>
      </w:pPr>
      <w:r>
        <w:rPr>
          <w:b/>
          <w:color w:val="244061"/>
        </w:rPr>
        <w:t>Protocolo.</w:t>
      </w:r>
      <w:r>
        <w:rPr>
          <w:color w:val="244061"/>
        </w:rPr>
        <w:t xml:space="preserve"> Hoje o fluxo gera um protocolo provisório (</w:t>
      </w:r>
      <w:r>
        <w:rPr>
          <w:rFonts w:ascii="Consolas" w:hAnsi="Consolas"/>
          <w:color w:val="244061"/>
          <w:sz w:val="18"/>
        </w:rPr>
        <w:t>ART-20261027-XXXXXX</w:t>
      </w:r>
      <w:r>
        <w:rPr>
          <w:color w:val="244061"/>
        </w:rPr>
        <w:t>). Trocar pelo protocolo da API de Tramitação quando estiver disponível.</w:t>
      </w:r>
    </w:p>
    <w:p>
      <w:pPr>
        <w:pStyle w:val="ListNumber"/>
      </w:pPr>
      <w:r>
        <w:rPr>
          <w:b/>
          <w:color w:val="244061"/>
        </w:rPr>
        <w:t>Linhas de teste.</w:t>
      </w:r>
      <w:r>
        <w:rPr>
          <w:color w:val="244061"/>
        </w:rPr>
        <w:t xml:space="preserve"> Limpar as tabelas de DEV antes da homologação com os órgãos. A do Selo Arte (</w:t>
      </w:r>
      <w:r>
        <w:rPr>
          <w:rFonts w:ascii="Consolas" w:hAnsi="Consolas"/>
          <w:color w:val="244061"/>
          <w:sz w:val="18"/>
        </w:rPr>
        <w:t>pedidos_selo_arte</w:t>
      </w:r>
      <w:r>
        <w:rPr>
          <w:color w:val="244061"/>
        </w:rPr>
        <w:t>) tem 5 envios repetidos.</w:t>
      </w:r>
    </w:p>
    <w:p>
      <w:pPr>
        <w:pStyle w:val="Heading3"/>
      </w:pPr>
      <w:r>
        <w:rPr>
          <w:color w:val="244061"/>
        </w:rPr>
        <w:t>O que o estudo encontrou no X-Forms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1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Achado</w:t>
            </w:r>
          </w:p>
        </w:tc>
        <w:tc>
          <w:tcPr>
            <w:tcW w:type="dxa" w:w="4030"/>
            <w:shd w:val="clear" w:color="auto" w:fill="DCE6F1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Pergunta ou pedido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</w:t>
            </w:r>
            <w:r>
              <w:rPr>
                <w:rFonts w:ascii="Consolas" w:hAnsi="Consolas"/>
                <w:color w:val="244061"/>
                <w:sz w:val="17"/>
              </w:rPr>
              <w:t>autocomplete</w:t>
            </w:r>
            <w:r>
              <w:rPr>
                <w:color w:val="244061"/>
                <w:sz w:val="17"/>
              </w:rPr>
              <w:t xml:space="preserve"> </w:t>
            </w:r>
            <w:r>
              <w:rPr>
                <w:rFonts w:ascii="Consolas" w:hAnsi="Consolas"/>
                <w:color w:val="244061"/>
                <w:sz w:val="17"/>
              </w:rPr>
              <w:t>name</w:t>
            </w:r>
            <w:r>
              <w:rPr>
                <w:color w:val="244061"/>
                <w:sz w:val="17"/>
              </w:rPr>
              <w:t xml:space="preserve">, </w:t>
            </w:r>
            <w:r>
              <w:rPr>
                <w:rFonts w:ascii="Consolas" w:hAnsi="Consolas"/>
                <w:color w:val="244061"/>
                <w:sz w:val="17"/>
              </w:rPr>
              <w:t>email</w:t>
            </w:r>
            <w:r>
              <w:rPr>
                <w:color w:val="244061"/>
                <w:sz w:val="17"/>
              </w:rPr>
              <w:t xml:space="preserve"> e </w:t>
            </w:r>
            <w:r>
              <w:rPr>
                <w:rFonts w:ascii="Consolas" w:hAnsi="Consolas"/>
                <w:color w:val="244061"/>
                <w:sz w:val="17"/>
              </w:rPr>
              <w:t>cpf</w:t>
            </w:r>
            <w:r>
              <w:rPr>
                <w:color w:val="244061"/>
                <w:sz w:val="17"/>
              </w:rPr>
              <w:t xml:space="preserve"> pré-preenchem com a conta. </w:t>
            </w:r>
            <w:r>
              <w:rPr>
                <w:rFonts w:ascii="Consolas" w:hAnsi="Consolas"/>
                <w:color w:val="244061"/>
                <w:sz w:val="17"/>
              </w:rPr>
              <w:t>tel</w:t>
            </w:r>
            <w:r>
              <w:rPr>
                <w:color w:val="244061"/>
                <w:sz w:val="17"/>
              </w:rPr>
              <w:t xml:space="preserve"> não pré-preenche.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 xml:space="preserve">Quais chaves existem? </w:t>
            </w:r>
            <w:r>
              <w:rPr>
                <w:rFonts w:ascii="Consolas" w:hAnsi="Consolas"/>
                <w:color w:val="244061"/>
                <w:sz w:val="17"/>
              </w:rPr>
              <w:t>celular</w:t>
            </w:r>
            <w:r>
              <w:rPr>
                <w:color w:val="244061"/>
                <w:sz w:val="17"/>
              </w:rPr>
              <w:t xml:space="preserve"> e </w:t>
            </w:r>
            <w:r>
              <w:rPr>
                <w:rFonts w:ascii="Consolas" w:hAnsi="Consolas"/>
                <w:color w:val="244061"/>
                <w:sz w:val="17"/>
              </w:rPr>
              <w:t>cidade</w:t>
            </w:r>
            <w:r>
              <w:rPr>
                <w:color w:val="244061"/>
                <w:sz w:val="17"/>
              </w:rPr>
              <w:t xml:space="preserve"> aparecem no exemplo, mas não foram testadas.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O pré-preenchimento vale para todo campo com a chave, inclusive dados de outra pessoa.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 xml:space="preserve">Resolvido com </w:t>
            </w:r>
            <w:r>
              <w:rPr>
                <w:rFonts w:ascii="Consolas" w:hAnsi="Consolas"/>
                <w:color w:val="244061"/>
                <w:sz w:val="17"/>
              </w:rPr>
              <w:t>resetValueIf</w:t>
            </w:r>
            <w:r>
              <w:rPr>
                <w:color w:val="244061"/>
                <w:sz w:val="17"/>
              </w:rPr>
              <w:t>. Vale registrar no manual.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Busca de endereço pelo CEP não é possível só com o JSON.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b/>
                <w:color w:val="244061"/>
                <w:sz w:val="17"/>
              </w:rPr>
              <w:t>Pedido de demanda:</w:t>
            </w:r>
            <w:r>
              <w:rPr>
                <w:color w:val="244061"/>
                <w:sz w:val="17"/>
              </w:rPr>
              <w:t xml:space="preserve"> campo de CEP que preencha endereço, bairro e município.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[HIPÓTESE]</w:t>
            </w:r>
            <w:r>
              <w:rPr>
                <w:color w:val="244061"/>
                <w:sz w:val="17"/>
              </w:rPr>
              <w:t xml:space="preserve"> </w:t>
            </w:r>
            <w:r>
              <w:rPr>
                <w:rFonts w:ascii="Consolas" w:hAnsi="Consolas"/>
                <w:color w:val="244061"/>
                <w:sz w:val="17"/>
              </w:rPr>
              <w:t>choicesByUrl</w:t>
            </w:r>
            <w:r>
              <w:rPr>
                <w:color w:val="244061"/>
                <w:sz w:val="17"/>
              </w:rPr>
              <w:t xml:space="preserve"> poderia carregar a lista de municípios pelo estado (serviço do IBGE).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 xml:space="preserve">O renderizador do portal aceita </w:t>
            </w:r>
            <w:r>
              <w:rPr>
                <w:rFonts w:ascii="Consolas" w:hAnsi="Consolas"/>
                <w:color w:val="244061"/>
                <w:sz w:val="17"/>
              </w:rPr>
              <w:t>choicesByUrl</w:t>
            </w:r>
            <w:r>
              <w:rPr>
                <w:color w:val="244061"/>
                <w:sz w:val="17"/>
              </w:rPr>
              <w:t>?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A máscara de telefone tem tamanho fixo: fixo (10 números) ou celular (11), não os dois.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Existe máscara que aceite os dois?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CPF e CNPJ são conferidos só pelo formato, não pelo dígito verificador.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O X-Forms tem validador nativo de CPF e CNPJ?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Ao salvar, o Designer apaga propriedades com valor padrão (</w:t>
            </w:r>
            <w:r>
              <w:rPr>
                <w:rFonts w:ascii="Consolas" w:hAnsi="Consolas"/>
                <w:color w:val="244061"/>
                <w:sz w:val="17"/>
              </w:rPr>
              <w:t>storeDataAsText</w:t>
            </w:r>
            <w:r>
              <w:rPr>
                <w:color w:val="244061"/>
                <w:sz w:val="17"/>
              </w:rPr>
              <w:t xml:space="preserve">, </w:t>
            </w:r>
            <w:r>
              <w:rPr>
                <w:rFonts w:ascii="Consolas" w:hAnsi="Consolas"/>
                <w:color w:val="244061"/>
                <w:sz w:val="17"/>
              </w:rPr>
              <w:t>allowMultiple</w:t>
            </w:r>
            <w:r>
              <w:rPr>
                <w:color w:val="244061"/>
                <w:sz w:val="17"/>
              </w:rPr>
              <w:t>).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Sem impacto; só registro.</w:t>
            </w:r>
          </w:p>
        </w:tc>
      </w:tr>
      <w:tr>
        <w:tc>
          <w:tcPr>
            <w:tcW w:type="dxa" w:w="5041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244061"/>
                <w:sz w:val="17"/>
              </w:rPr>
              <w:t>[FATO]</w:t>
            </w:r>
            <w:r>
              <w:rPr>
                <w:color w:val="244061"/>
                <w:sz w:val="17"/>
              </w:rPr>
              <w:t xml:space="preserve"> Criar formulário e enviar resposta funcionam por server actions do Next.js (</w:t>
            </w:r>
            <w:r>
              <w:rPr>
                <w:rFonts w:ascii="Consolas" w:hAnsi="Consolas"/>
                <w:color w:val="244061"/>
                <w:sz w:val="17"/>
              </w:rPr>
              <w:t>createForm</w:t>
            </w:r>
            <w:r>
              <w:rPr>
                <w:color w:val="244061"/>
                <w:sz w:val="17"/>
              </w:rPr>
              <w:t xml:space="preserve">, </w:t>
            </w:r>
            <w:r>
              <w:rPr>
                <w:rFonts w:ascii="Consolas" w:hAnsi="Consolas"/>
                <w:color w:val="244061"/>
                <w:sz w:val="17"/>
              </w:rPr>
              <w:t>submitFormResponse</w:t>
            </w:r>
            <w:r>
              <w:rPr>
                <w:color w:val="244061"/>
                <w:sz w:val="17"/>
              </w:rPr>
              <w:t>). O ID muda a cada versão, e chamadas seguidas dão erro 429.</w:t>
            </w:r>
          </w:p>
        </w:tc>
        <w:tc>
          <w:tcPr>
            <w:tcW w:type="dxa" w:w="4030"/>
          </w:tcPr>
          <w:p>
            <w:r>
              <w:rPr>
                <w:sz w:val="17"/>
              </w:rPr>
            </w:r>
            <w:r>
              <w:rPr>
                <w:color w:val="244061"/>
                <w:sz w:val="17"/>
              </w:rPr>
              <w:t>Existe ou vai existir uma API documentada para importar formulários e testar envios? Facilitaria homologar em lote.</w:t>
            </w:r>
          </w:p>
        </w:tc>
      </w:tr>
    </w:tbl>
    <w:p/>
    <w:p>
      <w:pPr>
        <w:pStyle w:val="Heading2"/>
      </w:pPr>
      <w:r>
        <w:rPr>
          <w:color w:val="244061"/>
        </w:rPr>
        <w:t>Pendências por órgão</w:t>
      </w:r>
    </w:p>
    <w:p>
      <w:r>
        <w:rPr>
          <w:color w:val="244061"/>
        </w:rPr>
        <w:t>Cada item é uma pergunta sobre o serviço. A resposta muda o formulário, por isso o estudo não decidiu sozinho. O diário de cada formulário tem o detalhe.</w:t>
      </w:r>
    </w:p>
    <w:p>
      <w:pPr>
        <w:pStyle w:val="Heading3"/>
      </w:pPr>
      <w:r>
        <w:rPr>
          <w:color w:val="244061"/>
        </w:rPr>
        <w:t>SETDIG</w:t>
      </w:r>
    </w:p>
    <w:p>
      <w:r>
        <w:rPr>
          <w:b/>
          <w:color w:val="244061"/>
        </w:rPr>
        <w:t>01 — Acesso ao WordPress</w:t>
      </w:r>
    </w:p>
    <w:p>
      <w:pPr>
        <w:pStyle w:val="ListBullet"/>
      </w:pPr>
      <w:r>
        <w:rPr>
          <w:color w:val="244061"/>
        </w:rPr>
        <w:t>Pedir a lista oficial de órgãos. A lista atual repete nomes (EPE, FADEB, PROCON) e inclui órgãos municipais (AGETRAN, SETRAT).</w:t>
      </w:r>
    </w:p>
    <w:p>
      <w:pPr>
        <w:pStyle w:val="ListBullet"/>
      </w:pPr>
      <w:r>
        <w:rPr>
          <w:color w:val="244061"/>
        </w:rPr>
        <w:t>Definir quem recebe o pedido.</w:t>
      </w:r>
    </w:p>
    <w:p>
      <w:pPr>
        <w:pStyle w:val="Heading3"/>
      </w:pPr>
      <w:r>
        <w:rPr>
          <w:color w:val="244061"/>
        </w:rPr>
        <w:t>Fundect</w:t>
      </w:r>
    </w:p>
    <w:p>
      <w:r>
        <w:rPr>
          <w:b/>
          <w:color w:val="244061"/>
        </w:rPr>
        <w:t>02 — Diárias e passagens</w:t>
      </w:r>
    </w:p>
    <w:p>
      <w:pPr>
        <w:pStyle w:val="ListBullet"/>
      </w:pPr>
      <w:r>
        <w:rPr>
          <w:color w:val="244061"/>
        </w:rPr>
        <w:t>Estagiário tem matrícula?</w:t>
      </w:r>
    </w:p>
    <w:p>
      <w:pPr>
        <w:pStyle w:val="ListBullet"/>
      </w:pPr>
      <w:r>
        <w:rPr>
          <w:color w:val="244061"/>
        </w:rPr>
        <w:t>O documento com foto vale só para estagiário?</w:t>
      </w:r>
    </w:p>
    <w:p>
      <w:pPr>
        <w:pStyle w:val="Heading3"/>
      </w:pPr>
      <w:r>
        <w:rPr>
          <w:color w:val="244061"/>
        </w:rPr>
        <w:t>IAGRO</w:t>
      </w:r>
    </w:p>
    <w:p>
      <w:r>
        <w:rPr>
          <w:b/>
          <w:color w:val="244061"/>
        </w:rPr>
        <w:t>03 — Responsável técnico agrícola</w:t>
      </w:r>
    </w:p>
    <w:p>
      <w:pPr>
        <w:pStyle w:val="ListBullet"/>
      </w:pPr>
      <w:r>
        <w:rPr>
          <w:color w:val="244061"/>
        </w:rPr>
        <w:t>Anexo de até 5 MB serve? Aceitar foto (JPG ou PNG) do documento?</w:t>
      </w:r>
    </w:p>
    <w:p>
      <w:r>
        <w:rPr>
          <w:b/>
          <w:color w:val="244061"/>
        </w:rPr>
        <w:t>04 — Indústria de agrotóxicos (e-Saniagro)</w:t>
      </w:r>
    </w:p>
    <w:p>
      <w:pPr>
        <w:pStyle w:val="ListBullet"/>
      </w:pPr>
      <w:r>
        <w:rPr>
          <w:color w:val="244061"/>
        </w:rPr>
        <w:t>O comprovante de CNPJ é público na Receita Federal. Pode deixar de ser pedido (Lei 14.129/2021)?</w:t>
      </w:r>
    </w:p>
    <w:p>
      <w:pPr>
        <w:pStyle w:val="ListBullet"/>
      </w:pPr>
      <w:r>
        <w:rPr>
          <w:color w:val="244061"/>
        </w:rPr>
        <w:t>O "Contato" da versão antiga era quem preenche ou outra pessoa da indústria?</w:t>
      </w:r>
    </w:p>
    <w:p>
      <w:r>
        <w:rPr>
          <w:b/>
          <w:color w:val="244061"/>
        </w:rPr>
        <w:t>05 — Cancelar registro de agrotóxicos</w:t>
      </w:r>
    </w:p>
    <w:p>
      <w:pPr>
        <w:pStyle w:val="ListBullet"/>
      </w:pPr>
      <w:r>
        <w:rPr>
          <w:color w:val="244061"/>
        </w:rPr>
        <w:t>Pode tirar o RG?</w:t>
      </w:r>
    </w:p>
    <w:p>
      <w:pPr>
        <w:pStyle w:val="ListBullet"/>
      </w:pPr>
      <w:r>
        <w:rPr>
          <w:color w:val="244061"/>
        </w:rPr>
        <w:t>Que guia de recolhimento é essa, onde se emite e qual o valor?</w:t>
      </w:r>
    </w:p>
    <w:p>
      <w:pPr>
        <w:pStyle w:val="ListBullet"/>
      </w:pPr>
      <w:r>
        <w:rPr>
          <w:color w:val="244061"/>
        </w:rPr>
        <w:t>Comprovante de CNPJ: mesma pergunta do 04.</w:t>
      </w:r>
    </w:p>
    <w:p>
      <w:r>
        <w:rPr>
          <w:b/>
          <w:color w:val="244061"/>
        </w:rPr>
        <w:t>06 — Selo Arte</w:t>
      </w:r>
    </w:p>
    <w:p>
      <w:pPr>
        <w:pStyle w:val="ListBullet"/>
      </w:pPr>
      <w:r>
        <w:rPr>
          <w:color w:val="244061"/>
        </w:rPr>
        <w:t>"Registro no serviço de inspeção" é o tipo de serviço (municipal, estadual ou federal)? Se for, vira lista de opções.</w:t>
      </w:r>
    </w:p>
    <w:p>
      <w:pPr>
        <w:pStyle w:val="ListBullet"/>
      </w:pPr>
      <w:r>
        <w:rPr>
          <w:color w:val="244061"/>
        </w:rPr>
        <w:t>A IAGRO é mesmo quem analisa? A versão antiga não diz.</w:t>
      </w:r>
    </w:p>
    <w:p>
      <w:pPr>
        <w:pStyle w:val="ListBullet"/>
      </w:pPr>
      <w:r>
        <w:rPr>
          <w:color w:val="244061"/>
        </w:rPr>
        <w:t>Qual o prazo de resposta? Há outros documentos exigidos?</w:t>
      </w:r>
    </w:p>
    <w:p>
      <w:pPr>
        <w:pStyle w:val="ListBullet"/>
      </w:pPr>
      <w:r>
        <w:rPr>
          <w:color w:val="244061"/>
        </w:rPr>
        <w:t>A logomarca precisa de tamanho ou resolução mínima?</w:t>
      </w:r>
    </w:p>
    <w:p>
      <w:r>
        <w:rPr>
          <w:b/>
          <w:color w:val="244061"/>
        </w:rPr>
        <w:t>08 — Veterinário de aves ou suínos</w:t>
      </w:r>
    </w:p>
    <w:p>
      <w:pPr>
        <w:pStyle w:val="ListBullet"/>
      </w:pPr>
      <w:r>
        <w:rPr>
          <w:color w:val="244061"/>
        </w:rPr>
        <w:t>Pode tirar o RG?</w:t>
      </w:r>
    </w:p>
    <w:p>
      <w:pPr>
        <w:pStyle w:val="ListBullet"/>
      </w:pPr>
      <w:r>
        <w:rPr>
          <w:color w:val="244061"/>
        </w:rPr>
        <w:t>Quem preenche é sempre o veterinário, ou a empresa pode cadastrar por ele?</w:t>
      </w:r>
    </w:p>
    <w:p>
      <w:pPr>
        <w:pStyle w:val="ListBullet"/>
      </w:pPr>
      <w:r>
        <w:rPr>
          <w:color w:val="244061"/>
        </w:rPr>
        <w:t>O número no CRMV (Conselho Regional de Medicina Veterinária) é mesmo opcional?</w:t>
      </w:r>
    </w:p>
    <w:p>
      <w:pPr>
        <w:pStyle w:val="ListBullet"/>
      </w:pPr>
      <w:r>
        <w:rPr>
          <w:color w:val="244061"/>
        </w:rPr>
        <w:t>O segundo telefone pode ser opcional?</w:t>
      </w:r>
    </w:p>
    <w:p>
      <w:pPr>
        <w:pStyle w:val="ListBullet"/>
      </w:pPr>
      <w:r>
        <w:rPr>
          <w:color w:val="244061"/>
        </w:rPr>
        <w:t>A portaria do MAPA vale para todo veterinário com vínculo ou só para quem emite GTA?</w:t>
      </w:r>
    </w:p>
    <w:p>
      <w:pPr>
        <w:pStyle w:val="ListBullet"/>
      </w:pPr>
      <w:r>
        <w:rPr>
          <w:color w:val="244061"/>
        </w:rPr>
        <w:t>Que documento comprova o vínculo com a empresa ou cooperativa?</w:t>
      </w:r>
    </w:p>
    <w:p>
      <w:r>
        <w:rPr>
          <w:b/>
          <w:color w:val="244061"/>
        </w:rPr>
        <w:t>10 — Empresa integradora de aves ou suínos</w:t>
      </w:r>
    </w:p>
    <w:p>
      <w:pPr>
        <w:pStyle w:val="ListBullet"/>
      </w:pPr>
      <w:r>
        <w:rPr>
          <w:color w:val="244061"/>
        </w:rPr>
        <w:t>Quem preenche é o representante legal? Se for, nome e e-mail podem vir da conta.</w:t>
      </w:r>
    </w:p>
    <w:p>
      <w:pPr>
        <w:pStyle w:val="ListBullet"/>
      </w:pPr>
      <w:r>
        <w:rPr>
          <w:color w:val="244061"/>
        </w:rPr>
        <w:t>Uma empresa pode ser integradora de aves e de suínos ao mesmo tempo?</w:t>
      </w:r>
    </w:p>
    <w:p>
      <w:pPr>
        <w:pStyle w:val="ListBullet"/>
      </w:pPr>
      <w:r>
        <w:rPr>
          <w:color w:val="244061"/>
        </w:rPr>
        <w:t>A resposta vai para o e-mail do representante ou da empresa?</w:t>
      </w:r>
    </w:p>
    <w:p>
      <w:pPr>
        <w:pStyle w:val="ListBullet"/>
      </w:pPr>
      <w:r>
        <w:rPr>
          <w:color w:val="244061"/>
        </w:rPr>
        <w:t>O endereço não tem rua nem número. Basta assim?</w:t>
      </w:r>
    </w:p>
    <w:p>
      <w:pPr>
        <w:pStyle w:val="ListBullet"/>
      </w:pPr>
      <w:r>
        <w:rPr>
          <w:color w:val="244061"/>
        </w:rPr>
        <w:t>Em que formato vem a coordenada geográfica?</w:t>
      </w:r>
    </w:p>
    <w:p>
      <w:r>
        <w:rPr>
          <w:b/>
          <w:color w:val="244061"/>
        </w:rPr>
        <w:t>11 — Soqueira de algodão</w:t>
      </w:r>
    </w:p>
    <w:p>
      <w:pPr>
        <w:pStyle w:val="ListBullet"/>
      </w:pPr>
      <w:r>
        <w:rPr>
          <w:color w:val="244061"/>
        </w:rPr>
        <w:t>Algum anexo precisa de mais de um arquivo (por exemplo, mais de um Relatório de Fiscalização)?</w:t>
      </w:r>
    </w:p>
    <w:p>
      <w:pPr>
        <w:pStyle w:val="ListBullet"/>
      </w:pPr>
      <w:r>
        <w:rPr>
          <w:color w:val="244061"/>
        </w:rPr>
        <w:t>Anexo de até 5 MB serve? Aceitar foto?</w:t>
      </w:r>
    </w:p>
    <w:p>
      <w:pPr>
        <w:pStyle w:val="ListBullet"/>
      </w:pPr>
      <w:r>
        <w:rPr>
          <w:color w:val="244061"/>
        </w:rPr>
        <w:t>Onde se emite a guia DAEMS e qual o valor de cada faixa de área?</w:t>
      </w:r>
    </w:p>
    <w:p>
      <w:pPr>
        <w:pStyle w:val="ListBullet"/>
      </w:pPr>
      <w:r>
        <w:rPr>
          <w:color w:val="244061"/>
        </w:rPr>
        <w:t>O pedido precisa identificar a propriedade?</w:t>
      </w:r>
    </w:p>
    <w:p>
      <w:pPr>
        <w:pStyle w:val="ListBullet"/>
      </w:pPr>
      <w:r>
        <w:rPr>
          <w:rFonts w:ascii="Consolas" w:hAnsi="Consolas"/>
          <w:color w:val="244061"/>
          <w:sz w:val="18"/>
        </w:rPr>
        <w:t>[HIPÓTESE]</w:t>
      </w:r>
      <w:r>
        <w:rPr>
          <w:color w:val="244061"/>
        </w:rPr>
        <w:t xml:space="preserve"> O pagamento da DAEMS pode ser conferido pelo governo, sem anexo?</w:t>
      </w:r>
    </w:p>
    <w:p>
      <w:r>
        <w:rPr>
          <w:b/>
          <w:color w:val="244061"/>
        </w:rPr>
        <w:t>13 — Laboratório de sanidade avícola</w:t>
      </w:r>
    </w:p>
    <w:p>
      <w:pPr>
        <w:pStyle w:val="ListBullet"/>
      </w:pPr>
      <w:r>
        <w:rPr>
          <w:color w:val="244061"/>
        </w:rPr>
        <w:t>O "Nome" da versão antiga era de quem preenche, do responsável técnico ou do laboratório?</w:t>
      </w:r>
    </w:p>
    <w:p>
      <w:pPr>
        <w:pStyle w:val="ListBullet"/>
      </w:pPr>
      <w:r>
        <w:rPr>
          <w:color w:val="244061"/>
        </w:rPr>
        <w:t>O que é o CRL?</w:t>
      </w:r>
    </w:p>
    <w:p>
      <w:pPr>
        <w:pStyle w:val="ListBullet"/>
      </w:pPr>
      <w:r>
        <w:rPr>
          <w:color w:val="244061"/>
        </w:rPr>
        <w:t>O endereço precisa aparecer só depois do CEP?</w:t>
      </w:r>
    </w:p>
    <w:p>
      <w:pPr>
        <w:pStyle w:val="ListBullet"/>
      </w:pPr>
      <w:r>
        <w:rPr>
          <w:color w:val="244061"/>
        </w:rPr>
        <w:t>O escopo das análises é mesmo opcional?</w:t>
      </w:r>
    </w:p>
    <w:p>
      <w:pPr>
        <w:pStyle w:val="Heading3"/>
      </w:pPr>
      <w:r>
        <w:rPr>
          <w:color w:val="244061"/>
        </w:rPr>
        <w:t>FCMS — Fundação de Cultura de MS</w:t>
      </w:r>
    </w:p>
    <w:p>
      <w:r>
        <w:rPr>
          <w:b/>
          <w:color w:val="244061"/>
        </w:rPr>
        <w:t>07 — Certidão negativa de tombamento</w:t>
      </w:r>
    </w:p>
    <w:p>
      <w:pPr>
        <w:pStyle w:val="ListBullet"/>
      </w:pPr>
      <w:r>
        <w:rPr>
          <w:color w:val="244061"/>
        </w:rPr>
        <w:t>Pode tirar o RG do requerente e do proprietário?</w:t>
      </w:r>
    </w:p>
    <w:p>
      <w:pPr>
        <w:pStyle w:val="ListBullet"/>
      </w:pPr>
      <w:r>
        <w:rPr>
          <w:color w:val="244061"/>
        </w:rPr>
        <w:t>A cópia do RG e do CPF de quem pede ainda é necessária, já que a conta gov.br confirma o CPF?</w:t>
      </w:r>
    </w:p>
    <w:p>
      <w:pPr>
        <w:pStyle w:val="ListBullet"/>
      </w:pPr>
      <w:r>
        <w:rPr>
          <w:color w:val="244061"/>
        </w:rPr>
        <w:t>Aceitar foto (JPG ou PNG) dos documentos?</w:t>
      </w:r>
    </w:p>
    <w:p>
      <w:pPr>
        <w:pStyle w:val="ListBullet"/>
      </w:pPr>
      <w:r>
        <w:rPr>
          <w:color w:val="244061"/>
        </w:rPr>
        <w:t>A certidão de matrícula precisa ter sido emitida há no máximo quanto tempo?</w:t>
      </w:r>
    </w:p>
    <w:p>
      <w:pPr>
        <w:pStyle w:val="ListBullet"/>
      </w:pPr>
      <w:r>
        <w:rPr>
          <w:color w:val="244061"/>
        </w:rPr>
        <w:t>Qual o prazo e como a certidão é entregue?</w:t>
      </w:r>
    </w:p>
    <w:p>
      <w:pPr>
        <w:pStyle w:val="ListBullet"/>
      </w:pPr>
      <w:r>
        <w:rPr>
          <w:color w:val="244061"/>
        </w:rPr>
        <w:t>A versão antiga fala em "imóvel ou bem". Bem móvel entra?</w:t>
      </w:r>
    </w:p>
    <w:p>
      <w:r>
        <w:rPr>
          <w:b/>
          <w:color w:val="244061"/>
        </w:rPr>
        <w:t>09 — Cadastro no Sistema Estadual de Bibliotecas Públicas</w:t>
      </w:r>
    </w:p>
    <w:p>
      <w:pPr>
        <w:pStyle w:val="ListBullet"/>
      </w:pPr>
      <w:r>
        <w:rPr>
          <w:color w:val="244061"/>
        </w:rPr>
        <w:t>O que é o "diagnóstico mais recente das bibliotecas" e onde se responde?</w:t>
      </w:r>
    </w:p>
    <w:p>
      <w:pPr>
        <w:pStyle w:val="ListBullet"/>
      </w:pPr>
      <w:r>
        <w:rPr>
          <w:color w:val="244061"/>
        </w:rPr>
        <w:t>O que é biblioteca "Associada"?</w:t>
      </w:r>
    </w:p>
    <w:p>
      <w:pPr>
        <w:pStyle w:val="ListBullet"/>
      </w:pPr>
      <w:r>
        <w:rPr>
          <w:color w:val="244061"/>
        </w:rPr>
        <w:t>O "comprovante de funcionamento" são as fotos ou falta um anexo?</w:t>
      </w:r>
    </w:p>
    <w:p>
      <w:pPr>
        <w:pStyle w:val="ListBullet"/>
      </w:pPr>
      <w:r>
        <w:rPr>
          <w:color w:val="244061"/>
        </w:rPr>
        <w:t>Quem preenche é sempre o responsável pela biblioteca?</w:t>
      </w:r>
    </w:p>
    <w:p>
      <w:pPr>
        <w:pStyle w:val="ListBullet"/>
      </w:pPr>
      <w:r>
        <w:rPr>
          <w:color w:val="244061"/>
        </w:rPr>
        <w:t>Escolaridade pode virar lista de opções?</w:t>
      </w:r>
    </w:p>
    <w:p>
      <w:pPr>
        <w:pStyle w:val="ListBullet"/>
      </w:pPr>
      <w:r>
        <w:rPr>
          <w:color w:val="244061"/>
        </w:rPr>
        <w:t>Telefone fixo é comum? Hoje o campo só aceita celular.</w:t>
      </w:r>
    </w:p>
    <w:p>
      <w:pPr>
        <w:pStyle w:val="ListBullet"/>
      </w:pPr>
      <w:r>
        <w:rPr>
          <w:color w:val="244061"/>
        </w:rPr>
        <w:t>Qual o prazo de resposta?</w:t>
      </w:r>
    </w:p>
    <w:p>
      <w:pPr>
        <w:pStyle w:val="Heading3"/>
      </w:pPr>
      <w:r>
        <w:rPr>
          <w:color w:val="244061"/>
        </w:rPr>
        <w:t>CGP — Coordenadoria-Geral de Perícias</w:t>
      </w:r>
    </w:p>
    <w:p>
      <w:r>
        <w:rPr>
          <w:b/>
          <w:color w:val="244061"/>
        </w:rPr>
        <w:t>12 — Cópia de laudo pericial</w:t>
      </w:r>
    </w:p>
    <w:p>
      <w:pPr>
        <w:pStyle w:val="ListBullet"/>
      </w:pPr>
      <w:r>
        <w:rPr>
          <w:color w:val="244061"/>
        </w:rPr>
        <w:t>Pode tirar o RG e o órgão emissor?</w:t>
      </w:r>
    </w:p>
    <w:p>
      <w:pPr>
        <w:pStyle w:val="ListBullet"/>
      </w:pPr>
      <w:r>
        <w:rPr>
          <w:color w:val="244061"/>
        </w:rPr>
        <w:t>"Outorgante" é quem deu a procuração?</w:t>
      </w:r>
    </w:p>
    <w:p>
      <w:pPr>
        <w:pStyle w:val="ListBullet"/>
      </w:pPr>
      <w:r>
        <w:rPr>
          <w:color w:val="244061"/>
        </w:rPr>
        <w:t>O documento da pessoa envolvida deve ser obrigatório para todos?</w:t>
      </w:r>
    </w:p>
    <w:p>
      <w:pPr>
        <w:pStyle w:val="ListBullet"/>
      </w:pPr>
      <w:r>
        <w:rPr>
          <w:color w:val="244061"/>
        </w:rPr>
        <w:t>A pessoa envolvida no fato é sempre a vítima?</w:t>
      </w:r>
    </w:p>
    <w:p>
      <w:pPr>
        <w:pStyle w:val="ListBullet"/>
      </w:pPr>
      <w:r>
        <w:rPr>
          <w:color w:val="244061"/>
        </w:rPr>
        <w:t>Quem conta como familiar de 1º grau? O cônjuge entra? Precisa da certidão de óbito?</w:t>
      </w:r>
    </w:p>
    <w:p>
      <w:pPr>
        <w:pStyle w:val="ListBullet"/>
      </w:pPr>
      <w:r>
        <w:rPr>
          <w:color w:val="244061"/>
        </w:rPr>
        <w:t xml:space="preserve">Os formatos </w:t>
      </w:r>
      <w:r>
        <w:rPr>
          <w:rFonts w:ascii="Consolas" w:hAnsi="Consolas"/>
          <w:color w:val="244061"/>
          <w:sz w:val="18"/>
        </w:rPr>
        <w:t>.webp</w:t>
      </w:r>
      <w:r>
        <w:rPr>
          <w:color w:val="244061"/>
        </w:rPr>
        <w:t xml:space="preserve"> e </w:t>
      </w:r>
      <w:r>
        <w:rPr>
          <w:rFonts w:ascii="Consolas" w:hAnsi="Consolas"/>
          <w:color w:val="244061"/>
          <w:sz w:val="18"/>
        </w:rPr>
        <w:t>.zip</w:t>
      </w:r>
      <w:r>
        <w:rPr>
          <w:color w:val="244061"/>
        </w:rPr>
        <w:t xml:space="preserve"> eram necessários?</w:t>
      </w:r>
    </w:p>
    <w:p>
      <w:pPr>
        <w:pStyle w:val="ListBullet"/>
      </w:pPr>
      <w:r>
        <w:rPr>
          <w:color w:val="244061"/>
        </w:rPr>
        <w:t>Em quanto tempo chega o e-mail com as orientações?</w:t>
      </w:r>
    </w:p>
    <w:p>
      <w:pPr>
        <w:pStyle w:val="Heading3"/>
      </w:pPr>
      <w:r>
        <w:rPr>
          <w:color w:val="244061"/>
        </w:rPr>
        <w:t>SEJUSP — Secretaria de Estado de Justiça e Segurança Pública</w:t>
      </w:r>
    </w:p>
    <w:p>
      <w:r>
        <w:rPr>
          <w:b/>
          <w:color w:val="244061"/>
        </w:rPr>
        <w:t>14 — Certidão de atendimento de emergência (190 ou 193)</w:t>
      </w:r>
    </w:p>
    <w:p>
      <w:pPr>
        <w:pStyle w:val="ListBullet"/>
      </w:pPr>
      <w:r>
        <w:rPr>
          <w:color w:val="244061"/>
        </w:rPr>
        <w:t>O serviço atende só Campo Grande, Dourados, Corumbá e Ponta Porã? Se sim, o aviso vira bloqueio.</w:t>
      </w:r>
    </w:p>
    <w:p>
      <w:pPr>
        <w:pStyle w:val="ListBullet"/>
      </w:pPr>
      <w:r>
        <w:rPr>
          <w:color w:val="244061"/>
        </w:rPr>
        <w:t>Para achar a ligação, precisa do número de onde se ligou?</w:t>
      </w:r>
    </w:p>
    <w:p>
      <w:pPr>
        <w:pStyle w:val="ListBullet"/>
      </w:pPr>
      <w:r>
        <w:rPr>
          <w:color w:val="244061"/>
        </w:rPr>
        <w:t>O endereço de quem ligou é necessário?</w:t>
      </w:r>
    </w:p>
    <w:p>
      <w:pPr>
        <w:pStyle w:val="ListBullet"/>
      </w:pPr>
      <w:r>
        <w:rPr>
          <w:color w:val="244061"/>
        </w:rPr>
        <w:t>O documento de identificação ainda é necessário, já que o CPF vem da conta?</w:t>
      </w:r>
    </w:p>
    <w:p>
      <w:pPr>
        <w:pStyle w:val="ListBullet"/>
      </w:pPr>
      <w:r>
        <w:rPr>
          <w:color w:val="244061"/>
        </w:rPr>
        <w:t>"Informações adicionais" e a hora do fato podem ser opcionais?</w:t>
      </w:r>
    </w:p>
    <w:p>
      <w:pPr>
        <w:pStyle w:val="ListBullet"/>
      </w:pPr>
      <w:r>
        <w:rPr>
          <w:color w:val="244061"/>
        </w:rPr>
        <w:t>A finalidade pode virar lista de opções (uso pessoal, administrativo, judicial)?</w:t>
      </w:r>
    </w:p>
    <w:p>
      <w:pPr>
        <w:pStyle w:val="ListBullet"/>
      </w:pPr>
      <w:r>
        <w:rPr>
          <w:color w:val="244061"/>
        </w:rPr>
        <w:t>Que unidade emite a certidão e em quanto tempo?</w:t>
      </w:r>
    </w:p>
    <w:p>
      <w:pPr>
        <w:pStyle w:val="Heading2"/>
      </w:pPr>
      <w:r>
        <w:rPr>
          <w:color w:val="244061"/>
        </w:rPr>
        <w:t>Próximos passos</w:t>
      </w:r>
    </w:p>
    <w:p>
      <w:pPr>
        <w:pStyle w:val="ListNumber"/>
      </w:pPr>
      <w:r>
        <w:rPr>
          <w:color w:val="244061"/>
        </w:rPr>
        <w:t>Leonardo: destino do pedido e conexão de e-mail. Sem isso o pedido não chega ao órgão.</w:t>
      </w:r>
    </w:p>
    <w:p>
      <w:pPr>
        <w:pStyle w:val="ListNumber"/>
      </w:pPr>
      <w:r>
        <w:rPr>
          <w:color w:val="244061"/>
        </w:rPr>
        <w:t>Órgãos: responder as perguntas acima. O estudo ajusta o formulário e testa de novo.</w:t>
      </w:r>
    </w:p>
    <w:p>
      <w:pPr>
        <w:pStyle w:val="ListNumber"/>
      </w:pPr>
      <w:r>
        <w:rPr>
          <w:color w:val="244061"/>
        </w:rPr>
        <w:t>Estudo: testar pela tela os outros caminhos das perguntas condicionais dos formulários 06 a 14.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b w:val="0"/>
      <w:color w:val="24406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ahoma" w:hAnsi="Tahoma" w:eastAsia="Tahoma" w:cs="Tahoma"/>
      <w:b/>
      <w:bCs/>
      <w:color w:val="2440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ahoma" w:hAnsi="Tahoma" w:eastAsia="Tahoma" w:cs="Tahoma"/>
      <w:b/>
      <w:bCs/>
      <w:color w:val="2440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ahoma" w:hAnsi="Tahoma" w:eastAsia="Tahoma" w:cs="Tahoma"/>
      <w:b/>
      <w:bCs/>
      <w:color w:val="2440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 w:cs="Tahoma"/>
      <w:b w:val="0"/>
      <w:color w:val="24406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 w:cs="Tahoma"/>
      <w:b w:val="0"/>
      <w:color w:val="244061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