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0076" cy="4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gee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7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5541" cy="37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jr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41" cy="37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/>
        <w:pBdr>
          <w:bottom w:val="single" w:sz="18" w:space="1" w:color="00EBB6"/>
        </w:pBdr>
      </w:pPr>
    </w:p>
    <w:p>
      <w:pPr>
        <w:spacing w:before="200" w:after="40"/>
      </w:pPr>
      <w:r>
        <w:rPr>
          <w:rFonts w:ascii="Calibri" w:hAnsi="Calibri"/>
          <w:b/>
          <w:color w:val="002E33"/>
          <w:sz w:val="36"/>
        </w:rPr>
        <w:t>Discovery de 2 Semanas · Procurement</w:t>
      </w:r>
    </w:p>
    <w:p>
      <w:pPr>
        <w:spacing w:after="80"/>
      </w:pPr>
      <w:r>
        <w:rPr>
          <w:rFonts w:ascii="Calibri" w:hAnsi="Calibri"/>
          <w:color w:val="4C6562"/>
          <w:sz w:val="22"/>
        </w:rPr>
        <w:t>CJR Renewables · synvert xgeeks · resumo de uma página</w:t>
      </w:r>
    </w:p>
    <w:p>
      <w:pPr>
        <w:keepNext/>
        <w:spacing w:before="200" w:after="80"/>
      </w:pPr>
      <w:r>
        <w:rPr>
          <w:rFonts w:ascii="Calibri" w:hAnsi="Calibri"/>
          <w:b/>
          <w:color w:val="002E33"/>
          <w:sz w:val="24"/>
        </w:rPr>
        <w:t>O que é</w:t>
      </w:r>
    </w:p>
    <w:p>
      <w:r>
        <w:rPr>
          <w:b w:val="0"/>
          <w:i w:val="0"/>
          <w:sz w:val="19"/>
        </w:rPr>
        <w:t>Duas semanas para compreender os processos de procurement da CJR, identificar em conjunto por onde faz mais sentido começar e fechar o âmbito do piloto, com baseline e KPIs de impacto definidos desde o arranque. A implementação começa na semana seguinte.</w:t>
      </w:r>
    </w:p>
    <w:p>
      <w:pPr>
        <w:keepNext/>
        <w:spacing w:before="200" w:after="80"/>
      </w:pPr>
      <w:r>
        <w:rPr>
          <w:rFonts w:ascii="Calibri" w:hAnsi="Calibri"/>
          <w:b/>
          <w:color w:val="002E33"/>
          <w:sz w:val="24"/>
        </w:rPr>
        <w:t>Estrutura das duas semanas</w:t>
      </w:r>
    </w:p>
    <w:p>
      <w:pPr>
        <w:pStyle w:val="ListBullet"/>
      </w:pPr>
      <w:r>
        <w:rPr>
          <w:b/>
          <w:color w:val="002E33"/>
          <w:sz w:val="19"/>
        </w:rPr>
        <w:t xml:space="preserve">Semana 1: </w:t>
      </w:r>
      <w:r>
        <w:rPr>
          <w:b w:val="0"/>
          <w:i w:val="0"/>
          <w:sz w:val="19"/>
        </w:rPr>
        <w:t>2 dias presenciais (workshops) + 3 dias de consolidação; definição do working model; review session no fecho.</w:t>
      </w:r>
    </w:p>
    <w:p>
      <w:pPr>
        <w:pStyle w:val="ListBullet"/>
      </w:pPr>
      <w:r>
        <w:rPr>
          <w:b/>
          <w:color w:val="002E33"/>
          <w:sz w:val="19"/>
        </w:rPr>
        <w:t xml:space="preserve">Semana 2: </w:t>
      </w:r>
      <w:r>
        <w:rPr>
          <w:b w:val="0"/>
          <w:i w:val="0"/>
          <w:sz w:val="19"/>
        </w:rPr>
        <w:t>2 dias presenciais (sessões marcadas a partir do que foi identificado na semana 1) + 3 dias de consolidação; review session e sessão final com a liderança.</w:t>
      </w:r>
    </w:p>
    <w:p>
      <w:pPr>
        <w:keepNext/>
        <w:spacing w:before="200" w:after="80"/>
      </w:pPr>
      <w:r>
        <w:rPr>
          <w:rFonts w:ascii="Calibri" w:hAnsi="Calibri"/>
          <w:b/>
          <w:color w:val="002E33"/>
          <w:sz w:val="24"/>
        </w:rPr>
        <w:t>Agenda presencial (alto nível)</w:t>
      </w:r>
    </w:p>
    <w:p>
      <w:pPr>
        <w:pStyle w:val="ListBullet"/>
      </w:pPr>
      <w:r>
        <w:rPr>
          <w:b/>
          <w:color w:val="002E33"/>
          <w:sz w:val="19"/>
        </w:rPr>
        <w:t xml:space="preserve">Dia 1, manhã: </w:t>
      </w:r>
      <w:r>
        <w:rPr>
          <w:b w:val="0"/>
          <w:i w:val="0"/>
          <w:sz w:val="19"/>
        </w:rPr>
        <w:t>welcome; visita às instalações; sessão com stakeholders.</w:t>
      </w:r>
    </w:p>
    <w:p>
      <w:pPr>
        <w:pStyle w:val="ListBullet"/>
      </w:pPr>
      <w:r>
        <w:rPr>
          <w:b/>
          <w:color w:val="002E33"/>
          <w:sz w:val="19"/>
        </w:rPr>
        <w:t xml:space="preserve">Dia 1, tarde: </w:t>
      </w:r>
      <w:r>
        <w:rPr>
          <w:b w:val="0"/>
          <w:i w:val="0"/>
          <w:sz w:val="19"/>
        </w:rPr>
        <w:t>fluxo de procurement; workshop de gestão de fornecedores.</w:t>
      </w:r>
    </w:p>
    <w:p>
      <w:pPr>
        <w:pStyle w:val="ListBullet"/>
      </w:pPr>
      <w:r>
        <w:rPr>
          <w:b/>
          <w:color w:val="002E33"/>
          <w:sz w:val="19"/>
        </w:rPr>
        <w:t xml:space="preserve">Dia 2, manhã: </w:t>
      </w:r>
      <w:r>
        <w:rPr>
          <w:b w:val="0"/>
          <w:i w:val="0"/>
          <w:sz w:val="19"/>
        </w:rPr>
        <w:t>sessão com IT.</w:t>
      </w:r>
    </w:p>
    <w:p>
      <w:pPr>
        <w:pStyle w:val="ListBullet"/>
      </w:pPr>
      <w:r>
        <w:rPr>
          <w:b/>
          <w:color w:val="002E33"/>
          <w:sz w:val="19"/>
        </w:rPr>
        <w:t xml:space="preserve">Dia 2, tarde: </w:t>
      </w:r>
      <w:r>
        <w:rPr>
          <w:b w:val="0"/>
          <w:i w:val="0"/>
          <w:sz w:val="19"/>
        </w:rPr>
        <w:t>sessão com Comercial, Financeiro e Legal; wrap-up.</w:t>
      </w:r>
    </w:p>
    <w:p>
      <w:pPr>
        <w:keepNext/>
        <w:spacing w:before="200" w:after="80"/>
      </w:pPr>
      <w:r>
        <w:rPr>
          <w:rFonts w:ascii="Calibri" w:hAnsi="Calibri"/>
          <w:b/>
          <w:color w:val="002E33"/>
          <w:sz w:val="24"/>
        </w:rPr>
        <w:t>O que precisamos da CJR</w:t>
      </w:r>
    </w:p>
    <w:p>
      <w:pPr>
        <w:pStyle w:val="ListBullet"/>
      </w:pPr>
      <w:r>
        <w:rPr>
          <w:b w:val="0"/>
          <w:i w:val="0"/>
          <w:sz w:val="19"/>
        </w:rPr>
        <w:t>Responsável do workflow de Procurement nomeado, com ownership desde o primeiro dia.</w:t>
      </w:r>
    </w:p>
    <w:p>
      <w:pPr>
        <w:pStyle w:val="ListBullet"/>
      </w:pPr>
      <w:r>
        <w:rPr>
          <w:b w:val="0"/>
          <w:i w:val="0"/>
          <w:sz w:val="19"/>
        </w:rPr>
        <w:t>Confirmação dos stakeholders que acompanham o projeto e as sessões (a nossa lista é um pressuposto a validar pela CJR).</w:t>
      </w:r>
    </w:p>
    <w:p>
      <w:pPr>
        <w:pStyle w:val="ListBullet"/>
      </w:pPr>
      <w:r>
        <w:rPr>
          <w:b w:val="0"/>
          <w:i w:val="0"/>
          <w:sz w:val="19"/>
        </w:rPr>
        <w:t>Disponibilidade das equipas e dias presenciais confirmados em Leça da Palmeira.</w:t>
      </w:r>
    </w:p>
    <w:p>
      <w:pPr>
        <w:pStyle w:val="ListBullet"/>
      </w:pPr>
      <w:r>
        <w:rPr>
          <w:b w:val="0"/>
          <w:i w:val="0"/>
          <w:sz w:val="19"/>
        </w:rPr>
        <w:t>Amostra de tickets de Procurement recentes (Projeto e Armazém, com e sem requisição SAP).</w:t>
      </w:r>
    </w:p>
    <w:p>
      <w:pPr>
        <w:pStyle w:val="ListBullet"/>
      </w:pPr>
      <w:r>
        <w:rPr>
          <w:b w:val="0"/>
          <w:i w:val="0"/>
          <w:sz w:val="19"/>
        </w:rPr>
        <w:t>Canais de comunicação e ferramentas definidos (Teams/Slack, email, documentação partilhada).</w:t>
      </w:r>
    </w:p>
    <w:p>
      <w:pPr>
        <w:pStyle w:val="ListBullet"/>
      </w:pPr>
      <w:r>
        <w:rPr>
          <w:b w:val="0"/>
          <w:i w:val="0"/>
          <w:sz w:val="19"/>
        </w:rPr>
        <w:t>Pedidos de acesso sandbox (SAP/SharePoint) submetidos no dia 1 ou 2 da semana 1.</w:t>
      </w:r>
    </w:p>
    <w:p>
      <w:pPr>
        <w:keepNext/>
        <w:spacing w:before="200" w:after="80"/>
      </w:pPr>
      <w:r>
        <w:rPr>
          <w:rFonts w:ascii="Calibri" w:hAnsi="Calibri"/>
          <w:b/>
          <w:color w:val="002E33"/>
          <w:sz w:val="24"/>
        </w:rPr>
        <w:t>O que sai no fim</w:t>
      </w:r>
    </w:p>
    <w:p>
      <w:pPr>
        <w:pStyle w:val="ListBullet"/>
      </w:pPr>
      <w:r>
        <w:rPr>
          <w:b w:val="0"/>
          <w:i w:val="0"/>
          <w:sz w:val="19"/>
        </w:rPr>
        <w:t>Fluxo as-is documentado e validado, com baseline quantificada.</w:t>
      </w:r>
    </w:p>
    <w:p>
      <w:pPr>
        <w:pStyle w:val="ListBullet"/>
      </w:pPr>
      <w:r>
        <w:rPr>
          <w:b w:val="0"/>
          <w:i w:val="0"/>
          <w:sz w:val="19"/>
        </w:rPr>
        <w:t>Âmbito do piloto fechado, com critérios de sucesso e milestones de entrega.</w:t>
      </w:r>
    </w:p>
    <w:p>
      <w:pPr>
        <w:pStyle w:val="ListBullet"/>
      </w:pPr>
      <w:r>
        <w:rPr>
          <w:b w:val="0"/>
          <w:i w:val="0"/>
          <w:sz w:val="19"/>
        </w:rPr>
        <w:t>Mapa de sistemas e plano de acessos, incluindo sandbox.</w:t>
      </w:r>
    </w:p>
    <w:p>
      <w:pPr>
        <w:pStyle w:val="ListBullet"/>
      </w:pPr>
      <w:r>
        <w:rPr>
          <w:b w:val="0"/>
          <w:i w:val="0"/>
          <w:sz w:val="19"/>
        </w:rPr>
        <w:t>KPIs de impacto definidos no arranque, ligados à baseline.</w:t>
      </w:r>
    </w:p>
    <w:p>
      <w:pPr>
        <w:pStyle w:val="ListBullet"/>
      </w:pPr>
      <w:r>
        <w:rPr>
          <w:b w:val="0"/>
          <w:i w:val="0"/>
          <w:sz w:val="19"/>
        </w:rPr>
        <w:t>Plano de implementação faseado: fases, esforço e sequência.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/>
      <w:color w:val="212B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