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0076" cy="413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geeks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76" cy="413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95541" cy="37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jr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41" cy="37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pBdr>
          <w:bottom w:val="single" w:sz="18" w:space="1" w:color="00EBB6"/>
        </w:pBdr>
      </w:pPr>
    </w:p>
    <w:p>
      <w:pPr>
        <w:spacing w:before="200" w:after="40"/>
      </w:pPr>
      <w:r>
        <w:rPr>
          <w:rFonts w:ascii="Calibri" w:hAnsi="Calibri"/>
          <w:b/>
          <w:color w:val="002E33"/>
          <w:sz w:val="36"/>
        </w:rPr>
        <w:t>Discovery de 2 Semanas · Procurement</w:t>
      </w:r>
    </w:p>
    <w:p>
      <w:pPr>
        <w:spacing w:after="80"/>
      </w:pPr>
      <w:r>
        <w:rPr>
          <w:rFonts w:ascii="Calibri" w:hAnsi="Calibri"/>
          <w:color w:val="4C6562"/>
          <w:sz w:val="22"/>
        </w:rPr>
        <w:t>CJR Renewables · synvert xgeeks · resumo de uma página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O que é</w:t>
      </w:r>
    </w:p>
    <w:p>
      <w:r>
        <w:rPr>
          <w:b w:val="0"/>
          <w:i w:val="0"/>
          <w:sz w:val="19"/>
        </w:rPr>
        <w:t>Duas semanas para compreender os processos de procurement da CJR e, em parceria, identificar por onde faz mais sentido começar, alinhar o que significa sucesso e fechar o âmbito do piloto. KPIs definidos no arranque, ligados à baseline. A implementação começa na semana seguinte.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Estrutura das duas semanas</w:t>
      </w:r>
    </w:p>
    <w:p>
      <w:pPr>
        <w:pStyle w:val="ListBullet"/>
      </w:pPr>
      <w:r>
        <w:rPr>
          <w:b/>
          <w:color w:val="002E33"/>
          <w:sz w:val="19"/>
        </w:rPr>
        <w:t xml:space="preserve">Semana 1: </w:t>
      </w:r>
      <w:r>
        <w:rPr>
          <w:b w:val="0"/>
          <w:i w:val="0"/>
          <w:sz w:val="19"/>
        </w:rPr>
        <w:t>2 dias presenciais (workshops) + 3 dias de consolidação; kickoff, workshops do fluxo e definição do working model; review session no fecho.</w:t>
      </w:r>
    </w:p>
    <w:p>
      <w:pPr>
        <w:pStyle w:val="ListBullet"/>
      </w:pPr>
      <w:r>
        <w:rPr>
          <w:b/>
          <w:color w:val="002E33"/>
          <w:sz w:val="19"/>
        </w:rPr>
        <w:t xml:space="preserve">Semana 2: </w:t>
      </w:r>
      <w:r>
        <w:rPr>
          <w:b w:val="0"/>
          <w:i w:val="0"/>
          <w:sz w:val="19"/>
        </w:rPr>
        <w:t>2 dias presenciais (sessões marcadas a partir do que foi identificado na semana 1) + 3 dias de consolidação; review session e sessão final com a liderança.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Agenda dos dias presenciais · Leça da Palmeira</w:t>
      </w:r>
    </w:p>
    <w:p>
      <w:pPr>
        <w:pStyle w:val="ListBullet"/>
      </w:pPr>
      <w:r>
        <w:rPr>
          <w:b/>
          <w:color w:val="002E33"/>
          <w:sz w:val="19"/>
        </w:rPr>
        <w:t xml:space="preserve">Dia 1, manhã: </w:t>
      </w:r>
      <w:r>
        <w:rPr>
          <w:b w:val="0"/>
          <w:i w:val="0"/>
          <w:sz w:val="19"/>
        </w:rPr>
        <w:t>welcome; visita às instalações; sessão com stakeholders; almoço.</w:t>
      </w:r>
    </w:p>
    <w:p>
      <w:pPr>
        <w:pStyle w:val="ListBullet"/>
      </w:pPr>
      <w:r>
        <w:rPr>
          <w:b/>
          <w:color w:val="002E33"/>
          <w:sz w:val="19"/>
        </w:rPr>
        <w:t xml:space="preserve">Dia 1, tarde: </w:t>
      </w:r>
      <w:r>
        <w:rPr>
          <w:b w:val="0"/>
          <w:i w:val="0"/>
          <w:sz w:val="19"/>
        </w:rPr>
        <w:t>sessão de trabalho sobre o fluxo de procurement; workshop de gestão de fornecedores.</w:t>
      </w:r>
    </w:p>
    <w:p>
      <w:pPr>
        <w:pStyle w:val="ListBullet"/>
      </w:pPr>
      <w:r>
        <w:rPr>
          <w:b/>
          <w:color w:val="002E33"/>
          <w:sz w:val="19"/>
        </w:rPr>
        <w:t xml:space="preserve">Dia 2, manhã: </w:t>
      </w:r>
      <w:r>
        <w:rPr>
          <w:b w:val="0"/>
          <w:i w:val="0"/>
          <w:sz w:val="19"/>
        </w:rPr>
        <w:t>sessão com IT: sistemas, acessos, integrações e objetos SAP do fluxo.</w:t>
      </w:r>
    </w:p>
    <w:p>
      <w:pPr>
        <w:pStyle w:val="ListBullet"/>
      </w:pPr>
      <w:r>
        <w:rPr>
          <w:b/>
          <w:color w:val="002E33"/>
          <w:sz w:val="19"/>
        </w:rPr>
        <w:t xml:space="preserve">Dia 2, tarde: </w:t>
      </w:r>
      <w:r>
        <w:rPr>
          <w:b w:val="0"/>
          <w:i w:val="0"/>
          <w:sz w:val="19"/>
        </w:rPr>
        <w:t>sessão com Comercial, Financeiro e Legal; wrap-up.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Sessões da semana 1</w:t>
      </w:r>
    </w:p>
    <w:p>
      <w:pPr>
        <w:pStyle w:val="ListBullet"/>
      </w:pPr>
      <w:r>
        <w:rPr>
          <w:b w:val="0"/>
          <w:i w:val="0"/>
          <w:sz w:val="19"/>
        </w:rPr>
        <w:t>Fluxo de procurement de ponta a ponta, tal como funciona hoje (SharePoint, consulta, mapa comparativo, SAP).</w:t>
      </w:r>
    </w:p>
    <w:p>
      <w:pPr>
        <w:pStyle w:val="ListBullet"/>
      </w:pPr>
      <w:r>
        <w:rPr>
          <w:b w:val="0"/>
          <w:i w:val="0"/>
          <w:sz w:val="19"/>
        </w:rPr>
        <w:t>Gestão de fornecedores: pré-qualificação acima de 50.000 EUR, questionário (Forms) e circulação da informação.</w:t>
      </w:r>
    </w:p>
    <w:p>
      <w:pPr>
        <w:pStyle w:val="ListBullet"/>
      </w:pPr>
      <w:r>
        <w:rPr>
          <w:b w:val="0"/>
          <w:i w:val="0"/>
          <w:sz w:val="19"/>
        </w:rPr>
        <w:t>Acompanhamento de 2 a 3 tickets reais (Projeto e Armazém).</w:t>
      </w:r>
    </w:p>
    <w:p>
      <w:pPr>
        <w:pStyle w:val="ListBullet"/>
      </w:pPr>
      <w:r>
        <w:rPr>
          <w:b w:val="0"/>
          <w:i w:val="0"/>
          <w:sz w:val="19"/>
        </w:rPr>
        <w:t>Working model proposto, com daily com os principais stakeholders se necessário.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Consolidação na semana 2</w:t>
      </w:r>
    </w:p>
    <w:p>
      <w:pPr>
        <w:pStyle w:val="ListBullet"/>
      </w:pPr>
      <w:r>
        <w:rPr>
          <w:b w:val="0"/>
          <w:i w:val="0"/>
          <w:sz w:val="19"/>
        </w:rPr>
        <w:t>Fluxo as-is documentado, com variantes, exceções e personas; baseline quantificada.</w:t>
      </w:r>
    </w:p>
    <w:p>
      <w:pPr>
        <w:pStyle w:val="ListBullet"/>
      </w:pPr>
      <w:r>
        <w:rPr>
          <w:b w:val="0"/>
          <w:i w:val="0"/>
          <w:sz w:val="19"/>
        </w:rPr>
        <w:t>Pain points consolidados; âmbito do piloto: o que fica humano e o que passa a ser agêntico.</w:t>
      </w:r>
    </w:p>
    <w:p>
      <w:pPr>
        <w:pStyle w:val="ListBullet"/>
      </w:pPr>
      <w:r>
        <w:rPr>
          <w:b w:val="0"/>
          <w:i w:val="0"/>
          <w:sz w:val="19"/>
        </w:rPr>
        <w:t>Milestones, plano de acessos e avaliação das competências internas para o suporte pós-entrega.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O que precisamos da CJR</w:t>
      </w:r>
    </w:p>
    <w:p>
      <w:pPr>
        <w:pStyle w:val="ListBullet"/>
      </w:pPr>
      <w:r>
        <w:rPr>
          <w:b w:val="0"/>
          <w:i w:val="0"/>
          <w:sz w:val="19"/>
        </w:rPr>
        <w:t>Responsável do workflow de Procurement nomeado, com ownership desde o primeiro dia.</w:t>
      </w:r>
    </w:p>
    <w:p>
      <w:pPr>
        <w:pStyle w:val="ListBullet"/>
      </w:pPr>
      <w:r>
        <w:rPr>
          <w:b w:val="0"/>
          <w:i w:val="0"/>
          <w:sz w:val="19"/>
        </w:rPr>
        <w:t>Confirmação dos intervenientes e responsáveis por sessão (a nossa lista é uma assunção a validar pela CJR).</w:t>
      </w:r>
    </w:p>
    <w:p>
      <w:pPr>
        <w:pStyle w:val="ListBullet"/>
      </w:pPr>
      <w:r>
        <w:rPr>
          <w:b w:val="0"/>
          <w:i w:val="0"/>
          <w:sz w:val="19"/>
        </w:rPr>
        <w:t>Disponibilidade das equipas (Procurement, Comercial, Financeiro, Compliance, Qualidade, IT).</w:t>
      </w:r>
    </w:p>
    <w:p>
      <w:pPr>
        <w:pStyle w:val="ListBullet"/>
      </w:pPr>
      <w:r>
        <w:rPr>
          <w:b w:val="0"/>
          <w:i w:val="0"/>
          <w:sz w:val="19"/>
        </w:rPr>
        <w:t>Amostra de tickets recentes (Projeto e Armazém, com e sem requisição SAP).</w:t>
      </w:r>
    </w:p>
    <w:p>
      <w:pPr>
        <w:pStyle w:val="ListBullet"/>
      </w:pPr>
      <w:r>
        <w:rPr>
          <w:b w:val="0"/>
          <w:i w:val="0"/>
          <w:sz w:val="19"/>
        </w:rPr>
        <w:t>Dias presenciais confirmados em Leça da Palmeira.</w:t>
      </w:r>
    </w:p>
    <w:p>
      <w:pPr>
        <w:pStyle w:val="ListBullet"/>
      </w:pPr>
      <w:r>
        <w:rPr>
          <w:b w:val="0"/>
          <w:i w:val="0"/>
          <w:sz w:val="19"/>
        </w:rPr>
        <w:t>Canais e ferramentas definidos; pedidos de acesso sandbox (SAP/SharePoint) submetidos durante a semana.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O que sai no fim</w:t>
      </w:r>
    </w:p>
    <w:p>
      <w:pPr>
        <w:pStyle w:val="ListBullet"/>
      </w:pPr>
      <w:r>
        <w:rPr>
          <w:b w:val="0"/>
          <w:i w:val="0"/>
          <w:sz w:val="19"/>
        </w:rPr>
        <w:t>Fluxo as-is documentado e validado, com baseline quantificada.</w:t>
      </w:r>
    </w:p>
    <w:p>
      <w:pPr>
        <w:pStyle w:val="ListBullet"/>
      </w:pPr>
      <w:r>
        <w:rPr>
          <w:b w:val="0"/>
          <w:i w:val="0"/>
          <w:sz w:val="19"/>
        </w:rPr>
        <w:t>Âmbito do piloto fechado, com critérios e métricas de sucesso e milestones.</w:t>
      </w:r>
    </w:p>
    <w:p>
      <w:pPr>
        <w:pStyle w:val="ListBullet"/>
      </w:pPr>
      <w:r>
        <w:rPr>
          <w:b w:val="0"/>
          <w:i w:val="0"/>
          <w:sz w:val="19"/>
        </w:rPr>
        <w:t>Mapa de sistemas e plano de acessos, incluindo sandbox; lista de pain points.</w:t>
      </w:r>
    </w:p>
    <w:p>
      <w:pPr>
        <w:pStyle w:val="ListBullet"/>
      </w:pPr>
      <w:r>
        <w:rPr>
          <w:b w:val="0"/>
          <w:i w:val="0"/>
          <w:sz w:val="19"/>
        </w:rPr>
        <w:t>KPIs de impacto definidos no arranque, ligados à baseline.</w:t>
      </w:r>
    </w:p>
    <w:p>
      <w:pPr>
        <w:pStyle w:val="ListBullet"/>
      </w:pPr>
      <w:r>
        <w:rPr>
          <w:b w:val="0"/>
          <w:i w:val="0"/>
          <w:sz w:val="19"/>
        </w:rPr>
        <w:t>Plano de implementação faseado: fases, esforço e sequência.</w:t>
      </w:r>
    </w:p>
    <w:sectPr w:rsidR="00FC693F" w:rsidRPr="0006063C" w:rsidSect="00034616"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Calibri" w:hAnsi="Calibri"/>
      <w:color w:val="212B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