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</w:t>
      </w:r>
    </w:p>
    <w:p>
      <w:r>
        <w:t>A presente ata registra os pontos principais discutidos durante a reunião realizada hoje, com o objetivo de alinhar as diretrizes estratégicas do próximo trimestre.</w:t>
      </w:r>
    </w:p>
    <w:p>
      <w:r>
        <w:t>Foram abordados tópicos cruciais como expansão de mercado, otimização de processos internos e alocação de recursos humanos. A equipe técnica propôs a implementação de novas ferramentas de automação para aumentar a eficiência operacional em 20% até o final do ano.</w:t>
      </w:r>
    </w:p>
    <w:p>
      <w:r>
        <w:t>Em relação às finanças, foi aprovado um orçamento adicional para investimentos em pesquisa e desenvolvimento, focado em inovação sustentável. Todos os membros da diretoria concordaram com a nova linha de ação, considerando-a viável e alinhada aos objetivos corporativos.</w:t>
      </w:r>
    </w:p>
    <w:p>
      <w:r>
        <w:t>A próxima reunião está marcada para o dia 15 do próximo mês, onde serão revisados os primeiros resultados das iniciativas propostas e ajustadas as metas trimestrais conforme necessário.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