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</w:t>
      </w:r>
    </w:p>
    <w:p>
      <w:r>
        <w:t>A presente ata registra os pontos levantados durante a reunião realizada com o objetivo de definir as diretrizes estratégicas do próximo trimestre. A assemblei foi conduzida por um grupo multidisciplinar, reunindo representantes das áreas de tecnologia, operações e finanças.</w:t>
      </w:r>
    </w:p>
    <w:p>
      <w:r>
        <w:t>O ponto central da discussão focou na necessidade de modernização dos processos internos para aumentar a eficiência operacional. Foi consenso que a implementação de novas ferramentas de automação será prioridade imediata, visando reduzir erros manuais e acelerar o ciclo de entrega de projetos. Além disso, foi estabelecido um cronograma preliminar para a reestruturação da equipe de suporte.</w:t>
      </w:r>
    </w:p>
    <w:p>
      <w:r>
        <w:t>Outro tema relevante abordado envolveu a revisão do orçamento anual. Os participantes concordaram em realocar recursos para áreas críticas de desenvolvimento, garantindo que os investimentos estejam alinhados com as metas de crescimento definidas pela diretoria. A aprovação final dos ajustes financeiros será submetida ao conselho administrativo na próxima semana.</w:t>
      </w:r>
    </w:p>
    <w:p>
      <w:r>
        <w:t>Como encerramento, foi acordado que um relatório detalhado com todos os pontos discutidos e as ações definidas será enviado a todos os membros da equipe até sexta-feira. A reunião foi encerrada às 18h30, com o grupo expressando compromisso em executar as decisões tomadas.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