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A reunião realizada hoje teve como foco principal a discussão sobre a expansão estratégica da empresa, especificamente o aporte de 25% do capital social atual. Durante os debates, foi detalhada a estruturação financeira necessária para viabilizar este investimento e garantir que todos os sócios estivessem alinhados com as novas diretrizes de crescimento.</w:t>
      </w:r>
    </w:p>
    <w:p>
      <w:r>
        <w:t>Após uma análise minuciosa dos interesses individuais e corporativos, a proposta foi unanimemente aceita por todos os participantes. A decisão consensual reforça o compromisso da equipe em buscar oportunidades de mercado que tragam valor agregado para cada sócio, mantendo ao mesmo tempo a estabilidade e a transparência nas relações societárias.</w:t>
      </w:r>
    </w:p>
    <w:p>
      <w:r>
        <w:t>Como próximos passos, será elaborado um plano de ação detalhado para formalizar o aporte do capital social. Este documento incluirá os ajustes contratuais necessários, a definição dos prazos de implementação e a comunicação oficial aos stakeholders envolvidos. A equipe financeira assumirá a responsabilidade pela execução imediata dessas etapas, com o objetivo de concluir as formalidades dentro do prazo estipulado.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