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A reunião realizada hoje teve como foco principal a discussão sobre a expansão estratégica da empresa, abordando a necessidade de um aporte significativo ao capital social. Durante o encontro, foi detalhada a proposta de aumento do capital em 25%, com a distribuição dos novos recursos dividida igualmente entre todos os sócios atuais, garantindo uma participação proporcional e equilibrada para cada um.</w:t>
      </w:r>
    </w:p>
    <w:p>
      <w:r>
        <w:t>Após análise minuciosa da viabilidade financeira e das perspectivas de crescimento do negócio, a assembleia decidiu aceitar a proposta apresentada. A aprovação unânime reflete o consenso dos parceiros quanto à importância deste investimento para consolidar as operações atuais e abrir novas frentes de atuação no mercado. O aporte reforçará a estrutura patrimonial da empresa, permitindo maior flexibilidade operacional e capacidade de investimento em projetos futuros.</w:t>
      </w:r>
    </w:p>
    <w:p>
      <w:r>
        <w:t>Como próximos passos, será formalizado o registro da alteração no capital social junto às autoridades competentes, com a emissão das respectivas notas de ajuste contábil. Além disso, serão definidas as novas diretrizes de gestão para aproveitar os recursos adicionais, focando em expansão de portfólio e otimização de processos internos. A equipe administrativa já está sendo mobilizada para preparar os documentos legais necessários para o encerramento do processo.</w:t>
      </w:r>
    </w:p>
    <w:p>
      <w:r>
        <w:t>Este relatório serve como registro oficial das decisões tomadas na reunião, garantindo transparência e alinhamento entre todos os envolvidos na gestão da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