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Hoje, realizou-se uma reunião estratégica focada na expansão do negócio da empresa. O tema central discutido foi o aporte de 25% do capital social atual, distribuído igualmente entre todos os sócios existentes. Após análise detalhada dos benefícios e riscos envolvidos, a proposta foi unanimemente aceita por todos os participantes.</w:t>
      </w:r>
    </w:p>
    <w:p>
      <w:r>
        <w:t>A aprovação deste aporte representa um passo fundamental para o crescimento sustentável da organização, permitindo investimentos em novas áreas de atuação e fortalecimento das operações atuais. A distribuição equitativa do capital reforça a confiança entre os sócios e assegura que cada um tenha interesse direto no sucesso da expansão planejada.</w:t>
      </w:r>
    </w:p>
    <w:p>
      <w:r>
        <w:t>Como próximos passos, será constituída uma comissão interna responsável por estruturar o plano de implementação do aporte. Esta comissão terá como tarefas definir as novas linhas de investimento, ajustar a estrutura societária conforme necessário e comunicar formalmente os acordos aos parceiros estratégicos. A equipe financeira acompanhará todo o processo para garantir transparência e conformidade com as normas vigentes.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