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realizou-se uma reunião estratégica para discutir e definir o futuro da expansão da empresa. O ponto central do debate foi a proposta de aporte de 25% do capital social atual, visando financiar novos projetos e acelerar o crescimento organizacional. Durante os diálogos, todos os participantes demonstraram interesse na iniciativa, reconhecendo sua importância para a sustentabilidade e longevidade do negócio.</w:t>
      </w:r>
    </w:p>
    <w:p>
      <w:r>
        <w:t>Após análise minuciosa dos riscos e benefícios envolvidos, a assembleia decidiu unanimemente aceitar a proposta de aporte. A decisão foi tomada com base no consenso geral entre os sócios, que concordaram em dividir igualmente as responsabilidades e os ganhos decorrentes dessa nova estrutura de capital. Essa ação reforça o compromisso coletivo com a visão de longo prazo da empresa e demonstra a confiança mútua entre os membros da diretoria.</w:t>
      </w:r>
    </w:p>
    <w:p>
      <w:r>
        <w:t>Como próximos passos, será necessário formalizar a alteração no contrato social junto aos órgãos competentes, além de iniciar o processo de reestruturação administrativa para refletir a nova participação societária. Também se planeja agendar uma reunião em breve para apresentar um plano detalhado de aplicação dos recursos e monitoramento dos resultados esperados com essa expansão.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