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Reunião - Expansão Corporativa</w:t>
      </w:r>
    </w:p>
    <w:p>
      <w:r>
        <w:t>Hoje, realizou-se uma reunião estratégica para discutir e definir o futuro da expansão da empresa. O tema central do encontro foi a análise de um aporte de capital social, que representará 25% do valor atualizado do patrimônio da companhia. Durante os debates, foram detalhadas as implicações financeiras e operacionais desta nova estrutura de investimento, visando garantir uma base sólida para o crescimento sustentável dos negócios.</w:t>
      </w:r>
    </w:p>
    <w:p>
      <w:r>
        <w:t>Após uma análise minuciosa dos dados apresentados pelos sócios e especialistas convidados, a proposta foi unanimemente aceita. A decisão consensual reforça o compromisso da equipe em buscar novas oportunidades de mercado e otimizar recursos internos. O aporte de 25% será distribuído igualmente entre todos os sócios existentes, assegurando uma participação equilibrada e fortalecendo a governança corporativa.</w:t>
      </w:r>
    </w:p>
    <w:p>
      <w:r>
        <w:t>Como próximos passos, será constituída uma comissão interna responsável por redigir o termo de ajuste e complementação (TAC) necessário para formalizar a alteração no capital social. Além disso, serão agendadas reuniões com os bancos parceiros para a abertura da linha de crédito correspondente ao novo aporte. A equipe financeira iniciará imediatamente a atualização dos balanços contábeis para refletir as novas proporções de participação societária.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