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Expansão Corporativa</w:t>
      </w:r>
    </w:p>
    <w:p>
      <w:r>
        <w:t>Hoje, realizou-se uma reunião estratégica para discutir e definir os próximos passos da expansão da empresa. O foco principal do encontro foi a análise da viabilidade e estruturação de um aporte de 25% ao capital social atual, visando fortalecer a base financeira necessária para o crescimento operacional e a entrada em novos mercados.</w:t>
      </w:r>
    </w:p>
    <w:p>
      <w:r>
        <w:t>Após uma análise detalhada dos cenários propostos e uma discussão aberta entre todos os envolvidos, a assembleia chegou a um consenso unânime. A proposta de aumento de capital, dividida igualmente entre os sócios existentes, foi formalmente aceita por todos os participantes. Esta decisão reflete o compromisso coletivo com o futuro da organização e a confiança mútua em direção aos objetivos estabelecidos.</w:t>
      </w:r>
    </w:p>
    <w:p>
      <w:r>
        <w:t>Como próximos passos, será constituída uma comissão interna responsável pela elaboração do projeto de alteração contratual definitivo. Essa comissão terá como missão redigir os documentos legais necessários para registrar a nova estrutura societária junto às autoridades competentes. Além disso, serão agendadas reuniões com o departamento jurídico e financeiro para detalhar as implicações contábeis e fiscais da operação, garantindo que toda a transação seja realizada em conformidade com a legislação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