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76" w:rsidRPr="00393D76" w:rsidRDefault="00393D76" w:rsidP="00393D76">
      <w:pPr>
        <w:shd w:val="clear" w:color="auto" w:fill="FFFFFF"/>
        <w:spacing w:before="100" w:beforeAutospacing="1" w:after="48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14"/>
          <w:szCs w:val="14"/>
          <w:lang w:eastAsia="pt-BR"/>
        </w:rPr>
      </w:pPr>
      <w:r w:rsidRPr="00393D76">
        <w:rPr>
          <w:rFonts w:ascii="Helvetica" w:eastAsia="Times New Roman" w:hAnsi="Helvetica" w:cs="Helvetica"/>
          <w:b/>
          <w:bCs/>
          <w:color w:val="000000"/>
          <w:sz w:val="14"/>
          <w:szCs w:val="14"/>
          <w:lang w:eastAsia="pt-BR"/>
        </w:rPr>
        <w:t>LEI Nº 3965, DE 26/12/2002</w:t>
      </w:r>
    </w:p>
    <w:p w:rsidR="00393D76" w:rsidRPr="00393D76" w:rsidRDefault="00393D76" w:rsidP="00393D76">
      <w:pPr>
        <w:shd w:val="clear" w:color="auto" w:fill="FFFFFF"/>
        <w:spacing w:before="100" w:beforeAutospacing="1" w:after="384" w:line="240" w:lineRule="auto"/>
        <w:ind w:left="2268"/>
        <w:jc w:val="both"/>
        <w:outlineLvl w:val="0"/>
        <w:rPr>
          <w:rFonts w:ascii="Helvetica" w:eastAsia="Times New Roman" w:hAnsi="Helvetica" w:cs="Helvetica"/>
          <w:b/>
          <w:bCs/>
          <w:caps/>
          <w:color w:val="000000"/>
          <w:kern w:val="36"/>
          <w:sz w:val="14"/>
          <w:szCs w:val="14"/>
          <w:lang w:eastAsia="pt-BR"/>
        </w:rPr>
      </w:pPr>
      <w:r w:rsidRPr="00393D76">
        <w:rPr>
          <w:rFonts w:ascii="Helvetica" w:eastAsia="Times New Roman" w:hAnsi="Helvetica" w:cs="Helvetica"/>
          <w:b/>
          <w:bCs/>
          <w:caps/>
          <w:color w:val="000000"/>
          <w:kern w:val="36"/>
          <w:sz w:val="14"/>
          <w:szCs w:val="14"/>
          <w:lang w:eastAsia="pt-BR"/>
        </w:rPr>
        <w:t>ALTERA LEI DO IMPOSTO SOBRE A PROPRIEDADE TERRITORIAL URBANA - IPTU.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LUIZ FERNANDO MAINARDI, Prefeito Municipal de Bagé, Estado do Rio Grande do Sul, FAÇO SABER, que a Câmara Municipal de Vereadores APROVOU e eu SANCIONO a seguinte LEI: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1º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 Estão isentos do IPTU, a partir do exercício de 2003: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 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 Os proprietários d</w:t>
      </w:r>
      <w:bookmarkStart w:id="0" w:name="_GoBack"/>
      <w:bookmarkEnd w:id="0"/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e terreno urbano, localizados na 4ª Zona, cujo valor venal não seja superior a 6,666 URP, e desde que não possua outro imóvel;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II 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 Os proprietários de prédio, localizados na 4ª Zona, cujo valor venal não seja superior a 21,666 URP, e desde que seja proprietário de único imóvel urbano.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2º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 Nos imóveis prediais serão aplicadas as seguintes alíquotas: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 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- 0,80% - prédios de qualquer zona, cujo valor venal não seja superior a 183,33 URP;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II 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- 0,90% - prédios de qualquer zona, cujo valor venal situe-se entre 183,34 e 366,66 URP;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III 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- 1,00% - prédios de qualquer zona, cujo valor venal situe-se acima de 366,67 URP.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3º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 Em se tratando de terreno, as alíquotas permanecem em: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 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- 5% (cinco por cento), imóveis situados na 1ª zona;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II 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- 4% (quatro por cento), imóveis situados na 2ª zona;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III 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- 3% (três por cento), imóveis situados na 3ª zona;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IV 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- 2% (dois por cento), imóveis situados na 4ª zona.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§ 1º Para o exercício de 2003, o valor venal de todos os imóveis serão atualizados pelo Índice Oficial Nacional através de Decreto Municipal, acrescidos de 4% (quatro por cento).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§ 2º É de responsabilidade do contribuinte manter atualizadas as suas respectivas informações cadastrais.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4º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 O pagamento do IPTU poderá ser efetuado em 11 (onze) parcelas mensais e sucessivas, sendo o primeiro vencimento no dia 10 de fevereiro, os demais no mesmo dia, nos meses subseqüentes.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§ 1º O contribuinte poderá optar pelo pagamento das parcelas no dia 20 (vinte) de cada mês, devendo, nesse caso, requerer através de processo administrativo a troca de datas para o pagamento das parcelas mensais, do dia 10 para o dia 20 de cada mês.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§ 2º No caso de pagamento em parcela única, esta deverá ser efetivada até: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até 10 de fevereiro, tendo direito ao desconto de 20% (vinte por cento) do valor </w:t>
      </w:r>
      <w:proofErr w:type="gramStart"/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devido;</w:t>
      </w: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b</w:t>
      </w:r>
      <w:proofErr w:type="gramEnd"/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 até 10 de março, tendo direito ao desconto de 10% (dez) por cento do valor devido.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§ 3º Por interesse público, o Poder Executivo poderá alterar por Decreto, as datas mencionadas nessa Lei, para pagamento do IPTU.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5º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 Esta Lei entra vigor na data de sua publicação, produzindo efeitos a contar de 1º/01/2003.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6º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 Revogam-se expressamente os incisos I e II do art. 178 da Lei </w:t>
      </w:r>
      <w:hyperlink r:id="rId4" w:history="1">
        <w:r w:rsidRPr="00393D76">
          <w:rPr>
            <w:rFonts w:ascii="Times New Roman" w:eastAsia="Times New Roman" w:hAnsi="Times New Roman" w:cs="Times New Roman"/>
            <w:b/>
            <w:bCs/>
            <w:color w:val="3F5720"/>
            <w:sz w:val="24"/>
            <w:szCs w:val="24"/>
            <w:u w:val="single"/>
            <w:lang w:eastAsia="pt-BR"/>
          </w:rPr>
          <w:t>1.442</w:t>
        </w:r>
      </w:hyperlink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-A, de 23 de dezembro de 1969.</w:t>
      </w:r>
    </w:p>
    <w:p w:rsidR="00393D76" w:rsidRPr="00393D76" w:rsidRDefault="00393D76" w:rsidP="00393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Gabinete do Prefeito Municipal de Bagé, em 26 de dezembro de 2002.</w:t>
      </w:r>
    </w:p>
    <w:p w:rsidR="00393D76" w:rsidRPr="00393D76" w:rsidRDefault="00393D76" w:rsidP="00393D7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t>LUIZ FERNANDO MAINARDI</w:t>
      </w:r>
      <w:r w:rsidRPr="00393D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Prefeito Municipal</w:t>
      </w:r>
    </w:p>
    <w:p w:rsidR="00393D76" w:rsidRPr="00393D76" w:rsidRDefault="00393D76" w:rsidP="00393D76">
      <w:pPr>
        <w:shd w:val="clear" w:color="auto" w:fill="FFFFFF"/>
        <w:spacing w:before="100" w:beforeAutospacing="1" w:after="0" w:line="240" w:lineRule="auto"/>
        <w:jc w:val="right"/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pt-BR"/>
        </w:rPr>
      </w:pPr>
      <w:r w:rsidRPr="00393D76">
        <w:rPr>
          <w:rFonts w:ascii="Helvetica" w:eastAsia="Times New Roman" w:hAnsi="Helvetica" w:cs="Helvetica"/>
          <w:b/>
          <w:bCs/>
          <w:i/>
          <w:iCs/>
          <w:color w:val="000000"/>
          <w:sz w:val="27"/>
          <w:lang w:eastAsia="pt-BR"/>
        </w:rPr>
        <w:t>Nota:</w:t>
      </w:r>
      <w:r w:rsidRPr="00393D76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pt-BR"/>
        </w:rPr>
        <w:t> Este texto não substitui o original.</w:t>
      </w:r>
    </w:p>
    <w:p w:rsidR="004A26DC" w:rsidRDefault="004A26DC"/>
    <w:sectPr w:rsidR="004A26DC" w:rsidSect="004A2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76"/>
    <w:rsid w:val="00393D76"/>
    <w:rsid w:val="004A26DC"/>
    <w:rsid w:val="004B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07D963-24D8-41FF-A03F-9CCD0271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DC"/>
  </w:style>
  <w:style w:type="paragraph" w:styleId="Ttulo1">
    <w:name w:val="heading 1"/>
    <w:basedOn w:val="Normal"/>
    <w:link w:val="Ttulo1Char"/>
    <w:uiPriority w:val="9"/>
    <w:qFormat/>
    <w:rsid w:val="00393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93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D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93D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3D76"/>
    <w:rPr>
      <w:b/>
      <w:bCs/>
    </w:rPr>
  </w:style>
  <w:style w:type="character" w:customStyle="1" w:styleId="dictionary">
    <w:name w:val="dictionary"/>
    <w:basedOn w:val="Fontepargpadro"/>
    <w:rsid w:val="00393D76"/>
  </w:style>
  <w:style w:type="character" w:styleId="Hyperlink">
    <w:name w:val="Hyperlink"/>
    <w:basedOn w:val="Fontepargpadro"/>
    <w:uiPriority w:val="99"/>
    <w:semiHidden/>
    <w:unhideWhenUsed/>
    <w:rsid w:val="00393D76"/>
    <w:rPr>
      <w:color w:val="0000FF"/>
      <w:u w:val="single"/>
    </w:rPr>
  </w:style>
  <w:style w:type="paragraph" w:customStyle="1" w:styleId="additionalinfo">
    <w:name w:val="additionalinfo"/>
    <w:basedOn w:val="Normal"/>
    <w:rsid w:val="0039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vleis.com.br/bage-rs/lei-ordinaria-1442-196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Pat-2655</dc:creator>
  <cp:lastModifiedBy>Fábio Geovane Porto Vasques</cp:lastModifiedBy>
  <cp:revision>2</cp:revision>
  <dcterms:created xsi:type="dcterms:W3CDTF">2024-04-08T18:19:00Z</dcterms:created>
  <dcterms:modified xsi:type="dcterms:W3CDTF">2024-04-08T18:19:00Z</dcterms:modified>
</cp:coreProperties>
</file>