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2C56" w14:textId="354D7780" w:rsidR="009212C8" w:rsidRDefault="00000000">
      <w:pPr>
        <w:pStyle w:val="Heading1"/>
        <w:spacing w:after="200"/>
      </w:pPr>
      <w:r>
        <w:t>RSHSF Programme Details (S/N 15–20)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6800"/>
      </w:tblGrid>
      <w:tr w:rsidR="009212C8" w14:paraId="7A364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0DD0AF0B" w14:textId="77777777" w:rsidR="009212C8" w:rsidRDefault="00000000">
            <w:r>
              <w:rPr>
                <w:b/>
                <w:bCs/>
              </w:rPr>
              <w:t>S/N</w:t>
            </w:r>
          </w:p>
        </w:tc>
        <w:tc>
          <w:tcPr>
            <w:tcW w:w="1800" w:type="dxa"/>
            <w:shd w:val="clear" w:color="auto" w:fill="D9D9D9"/>
          </w:tcPr>
          <w:p w14:paraId="19D7FDA2" w14:textId="77777777" w:rsidR="009212C8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800" w:type="dxa"/>
            <w:shd w:val="clear" w:color="auto" w:fill="D9D9D9"/>
          </w:tcPr>
          <w:p w14:paraId="0E29F204" w14:textId="77777777" w:rsidR="009212C8" w:rsidRDefault="00000000">
            <w:r>
              <w:rPr>
                <w:b/>
                <w:bCs/>
              </w:rPr>
              <w:t>Details</w:t>
            </w:r>
          </w:p>
        </w:tc>
      </w:tr>
      <w:tr w:rsidR="009212C8" w14:paraId="2E4996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F222066" w14:textId="77777777" w:rsidR="009212C8" w:rsidRDefault="00000000">
            <w:r>
              <w:t>15</w:t>
            </w:r>
          </w:p>
        </w:tc>
        <w:tc>
          <w:tcPr>
            <w:tcW w:w="1800" w:type="dxa"/>
          </w:tcPr>
          <w:p w14:paraId="2B41B40F" w14:textId="77777777" w:rsidR="009212C8" w:rsidRDefault="00000000">
            <w:r>
              <w:rPr>
                <w:b/>
                <w:bCs/>
              </w:rPr>
              <w:t>Eligibility</w:t>
            </w:r>
          </w:p>
        </w:tc>
        <w:tc>
          <w:tcPr>
            <w:tcW w:w="6800" w:type="dxa"/>
          </w:tcPr>
          <w:p w14:paraId="12A57679" w14:textId="77777777" w:rsidR="009212C8" w:rsidRDefault="00000000">
            <w:pPr>
              <w:spacing w:after="60"/>
            </w:pPr>
            <w:r>
              <w:t xml:space="preserve">Participating </w:t>
            </w:r>
            <w:proofErr w:type="spellStart"/>
            <w:r>
              <w:t>FACs</w:t>
            </w:r>
            <w:proofErr w:type="spellEnd"/>
            <w:r>
              <w:t xml:space="preserve"> must satisfy the following institutional benchmarks:</w:t>
            </w:r>
          </w:p>
          <w:p w14:paraId="70BEBD52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Full incorporation with the Corporate Affairs Commission (CAC).</w:t>
            </w:r>
          </w:p>
          <w:p w14:paraId="6071E9EC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Verifiable track record in agricultural aggregation and logistics.</w:t>
            </w:r>
          </w:p>
          <w:p w14:paraId="0D27FBBF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Active, mapped out-grower network and farmer clusters.</w:t>
            </w:r>
          </w:p>
          <w:p w14:paraId="51F18F46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Adequate, secure warehousing and transport infrastructure.</w:t>
            </w:r>
          </w:p>
          <w:p w14:paraId="3B1255CF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Formalized, legally binding market linkage or off-take agreements.</w:t>
            </w:r>
          </w:p>
          <w:p w14:paraId="4972B6D2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Operational commercial account with the Bank of Agriculture (BOA).</w:t>
            </w:r>
          </w:p>
          <w:p w14:paraId="50DC8136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Valid audited financial statements and statutory compliance filings.</w:t>
            </w:r>
          </w:p>
          <w:p w14:paraId="3655D62D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Clean Credit Bureau and Central Bank CRMS reports.</w:t>
            </w:r>
          </w:p>
          <w:p w14:paraId="160642DC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Zero history of non-performing loans (NPLs) within the financial system.</w:t>
            </w:r>
          </w:p>
          <w:p w14:paraId="093FA27B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Strict compliance with </w:t>
            </w:r>
            <w:proofErr w:type="spellStart"/>
            <w:r>
              <w:t>BOA's</w:t>
            </w:r>
            <w:proofErr w:type="spellEnd"/>
            <w:r>
              <w:t xml:space="preserve"> operational and risk management framework</w:t>
            </w:r>
          </w:p>
          <w:p w14:paraId="6948F0C5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Smallholders must be formally registered, biometrically captured, and verified under an accredited aggregator.</w:t>
            </w:r>
          </w:p>
        </w:tc>
      </w:tr>
      <w:tr w:rsidR="009212C8" w14:paraId="16F497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814EEAF" w14:textId="77777777" w:rsidR="009212C8" w:rsidRDefault="00000000">
            <w:r>
              <w:t>16</w:t>
            </w:r>
          </w:p>
        </w:tc>
        <w:tc>
          <w:tcPr>
            <w:tcW w:w="1800" w:type="dxa"/>
          </w:tcPr>
          <w:p w14:paraId="36159195" w14:textId="77777777" w:rsidR="009212C8" w:rsidRDefault="00000000">
            <w:r>
              <w:rPr>
                <w:b/>
                <w:bCs/>
              </w:rPr>
              <w:t>Collateral</w:t>
            </w:r>
          </w:p>
        </w:tc>
        <w:tc>
          <w:tcPr>
            <w:tcW w:w="6800" w:type="dxa"/>
          </w:tcPr>
          <w:p w14:paraId="747ECB15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100% unconditional Bank Guarantee covering Principal and accrued interest.</w:t>
            </w:r>
          </w:p>
          <w:p w14:paraId="3F41C92F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NIRSAL-backed Credit Risk Guarantee (CRG) structure.</w:t>
            </w:r>
          </w:p>
          <w:p w14:paraId="59CFE0EC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Legal mortgage over prime, verifiable landed property</w:t>
            </w:r>
          </w:p>
        </w:tc>
      </w:tr>
      <w:tr w:rsidR="009212C8" w14:paraId="0B226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05954B9" w14:textId="77777777" w:rsidR="009212C8" w:rsidRDefault="00000000">
            <w:r>
              <w:t>17</w:t>
            </w:r>
          </w:p>
        </w:tc>
        <w:tc>
          <w:tcPr>
            <w:tcW w:w="1800" w:type="dxa"/>
          </w:tcPr>
          <w:p w14:paraId="3E1404D7" w14:textId="77777777" w:rsidR="009212C8" w:rsidRDefault="00000000">
            <w:r>
              <w:rPr>
                <w:b/>
                <w:bCs/>
              </w:rPr>
              <w:t>Process Flow</w:t>
            </w:r>
          </w:p>
        </w:tc>
        <w:tc>
          <w:tcPr>
            <w:tcW w:w="6800" w:type="dxa"/>
          </w:tcPr>
          <w:p w14:paraId="210A7876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Farmer registration and digital enumeration.</w:t>
            </w:r>
          </w:p>
          <w:p w14:paraId="29BBFDDE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Aggregator application submission.</w:t>
            </w:r>
          </w:p>
          <w:p w14:paraId="2C06ED90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Credit Bureau and CRMS background checks.</w:t>
            </w:r>
          </w:p>
          <w:p w14:paraId="20D484D5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Technical, financial, and risk appraisal.</w:t>
            </w:r>
          </w:p>
          <w:p w14:paraId="13F898DA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Formal credit committee approval.</w:t>
            </w:r>
          </w:p>
          <w:p w14:paraId="430CA2E2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Execution of legal and security documentation.</w:t>
            </w:r>
          </w:p>
          <w:p w14:paraId="56D1A113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Verification of out-grower lists and farm locations.</w:t>
            </w:r>
          </w:p>
          <w:p w14:paraId="431D4219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Approval of standardized Economics of Production (EOP).</w:t>
            </w:r>
          </w:p>
          <w:p w14:paraId="547D9E02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Issuance and formal acceptance of Offer Letter.</w:t>
            </w:r>
          </w:p>
          <w:p w14:paraId="7223A643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Authorized release of production inputs to suppliers.</w:t>
            </w:r>
          </w:p>
          <w:p w14:paraId="5CAE5BFD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Input distribution via designated aggregators.</w:t>
            </w:r>
          </w:p>
          <w:p w14:paraId="280BD84C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On-field monitoring and extension deployment.</w:t>
            </w:r>
          </w:p>
          <w:p w14:paraId="697597D9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Digital crop tracking using the program's M&amp;E platform.</w:t>
            </w:r>
          </w:p>
          <w:p w14:paraId="5F4F6188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Harvest, aggregation, and crop evacuation.</w:t>
            </w:r>
          </w:p>
          <w:p w14:paraId="035D885C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Automated sale to approved off-takers or commodity boards.</w:t>
            </w:r>
          </w:p>
          <w:p w14:paraId="3644DEC1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Loan recovery, settlement, and facility close-out.</w:t>
            </w:r>
          </w:p>
        </w:tc>
      </w:tr>
      <w:tr w:rsidR="009212C8" w14:paraId="7CCF57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1F6286D" w14:textId="77777777" w:rsidR="009212C8" w:rsidRDefault="00000000">
            <w:r>
              <w:t>18</w:t>
            </w:r>
          </w:p>
        </w:tc>
        <w:tc>
          <w:tcPr>
            <w:tcW w:w="1800" w:type="dxa"/>
          </w:tcPr>
          <w:p w14:paraId="1B79B378" w14:textId="77777777" w:rsidR="009212C8" w:rsidRDefault="00000000">
            <w:r>
              <w:rPr>
                <w:b/>
                <w:bCs/>
              </w:rPr>
              <w:t>Monitoring Report</w:t>
            </w:r>
          </w:p>
        </w:tc>
        <w:tc>
          <w:tcPr>
            <w:tcW w:w="6800" w:type="dxa"/>
          </w:tcPr>
          <w:p w14:paraId="26E6BC37" w14:textId="77777777" w:rsidR="009212C8" w:rsidRDefault="00000000">
            <w:pPr>
              <w:spacing w:after="60"/>
            </w:pPr>
            <w:r>
              <w:t>Oversight is maintained via on-site field audits, digital M&amp;E dashboards, geo-tagged plot mapping, farmer attendance tracking, extension metrics, warehouse inventory reconciliation, and continuous loan-to-yield performance tracking.</w:t>
            </w:r>
          </w:p>
        </w:tc>
      </w:tr>
      <w:tr w:rsidR="009212C8" w14:paraId="3FEB93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960B60B" w14:textId="77777777" w:rsidR="009212C8" w:rsidRDefault="00000000">
            <w:r>
              <w:t>19</w:t>
            </w:r>
          </w:p>
        </w:tc>
        <w:tc>
          <w:tcPr>
            <w:tcW w:w="1800" w:type="dxa"/>
          </w:tcPr>
          <w:p w14:paraId="4E348AA7" w14:textId="77777777" w:rsidR="009212C8" w:rsidRDefault="00000000">
            <w:r>
              <w:rPr>
                <w:b/>
                <w:bCs/>
              </w:rPr>
              <w:t>Tolerable NPL</w:t>
            </w:r>
          </w:p>
        </w:tc>
        <w:tc>
          <w:tcPr>
            <w:tcW w:w="6800" w:type="dxa"/>
          </w:tcPr>
          <w:p w14:paraId="50B80D85" w14:textId="77777777" w:rsidR="009212C8" w:rsidRDefault="00000000">
            <w:pPr>
              <w:spacing w:after="60"/>
            </w:pPr>
            <w:r>
              <w:t>Maximum Non-Performing Loan (NPL) Ratio of 1.5%.</w:t>
            </w:r>
          </w:p>
        </w:tc>
      </w:tr>
      <w:tr w:rsidR="009212C8" w14:paraId="22493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B954CDF" w14:textId="77777777" w:rsidR="009212C8" w:rsidRDefault="00000000">
            <w:r>
              <w:t>20</w:t>
            </w:r>
          </w:p>
        </w:tc>
        <w:tc>
          <w:tcPr>
            <w:tcW w:w="1800" w:type="dxa"/>
          </w:tcPr>
          <w:p w14:paraId="39B2E5F2" w14:textId="77777777" w:rsidR="009212C8" w:rsidRDefault="00000000">
            <w:r>
              <w:rPr>
                <w:b/>
                <w:bCs/>
              </w:rPr>
              <w:t>Turn Around Time</w:t>
            </w:r>
          </w:p>
        </w:tc>
        <w:tc>
          <w:tcPr>
            <w:tcW w:w="6800" w:type="dxa"/>
          </w:tcPr>
          <w:p w14:paraId="1F2C5413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i/>
                <w:iCs/>
              </w:rPr>
              <w:t>Application to Offer Letter: Maximum 20 working days.</w:t>
            </w:r>
          </w:p>
          <w:p w14:paraId="02A22A9B" w14:textId="77777777" w:rsidR="009212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i/>
                <w:iCs/>
              </w:rPr>
              <w:t>Input Release post-Conditions Precedent: Maximum 10 working days</w:t>
            </w:r>
          </w:p>
        </w:tc>
      </w:tr>
    </w:tbl>
    <w:p w14:paraId="6ECECBC4" w14:textId="77777777" w:rsidR="00AF0C52" w:rsidRDefault="00AF0C52"/>
    <w:sectPr w:rsidR="00AF0C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51F"/>
    <w:multiLevelType w:val="hybridMultilevel"/>
    <w:tmpl w:val="4DBA5B16"/>
    <w:lvl w:ilvl="0" w:tplc="D284AC3C">
      <w:start w:val="1"/>
      <w:numFmt w:val="bullet"/>
      <w:lvlText w:val="●"/>
      <w:lvlJc w:val="left"/>
      <w:pPr>
        <w:ind w:left="720" w:hanging="360"/>
      </w:pPr>
    </w:lvl>
    <w:lvl w:ilvl="1" w:tplc="062AB7BE">
      <w:start w:val="1"/>
      <w:numFmt w:val="bullet"/>
      <w:lvlText w:val="○"/>
      <w:lvlJc w:val="left"/>
      <w:pPr>
        <w:ind w:left="1440" w:hanging="360"/>
      </w:pPr>
    </w:lvl>
    <w:lvl w:ilvl="2" w:tplc="759C41B8">
      <w:start w:val="1"/>
      <w:numFmt w:val="bullet"/>
      <w:lvlText w:val="■"/>
      <w:lvlJc w:val="left"/>
      <w:pPr>
        <w:ind w:left="2160" w:hanging="360"/>
      </w:pPr>
    </w:lvl>
    <w:lvl w:ilvl="3" w:tplc="AE3CBFA4">
      <w:start w:val="1"/>
      <w:numFmt w:val="bullet"/>
      <w:lvlText w:val="●"/>
      <w:lvlJc w:val="left"/>
      <w:pPr>
        <w:ind w:left="2880" w:hanging="360"/>
      </w:pPr>
    </w:lvl>
    <w:lvl w:ilvl="4" w:tplc="AD1E0E7E">
      <w:start w:val="1"/>
      <w:numFmt w:val="bullet"/>
      <w:lvlText w:val="○"/>
      <w:lvlJc w:val="left"/>
      <w:pPr>
        <w:ind w:left="3600" w:hanging="360"/>
      </w:pPr>
    </w:lvl>
    <w:lvl w:ilvl="5" w:tplc="66367A72">
      <w:start w:val="1"/>
      <w:numFmt w:val="bullet"/>
      <w:lvlText w:val="■"/>
      <w:lvlJc w:val="left"/>
      <w:pPr>
        <w:ind w:left="4320" w:hanging="360"/>
      </w:pPr>
    </w:lvl>
    <w:lvl w:ilvl="6" w:tplc="E22066E4">
      <w:start w:val="1"/>
      <w:numFmt w:val="bullet"/>
      <w:lvlText w:val="●"/>
      <w:lvlJc w:val="left"/>
      <w:pPr>
        <w:ind w:left="5040" w:hanging="360"/>
      </w:pPr>
    </w:lvl>
    <w:lvl w:ilvl="7" w:tplc="C3C84B10">
      <w:start w:val="1"/>
      <w:numFmt w:val="bullet"/>
      <w:lvlText w:val="●"/>
      <w:lvlJc w:val="left"/>
      <w:pPr>
        <w:ind w:left="5760" w:hanging="360"/>
      </w:pPr>
    </w:lvl>
    <w:lvl w:ilvl="8" w:tplc="02B41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C7D24"/>
    <w:multiLevelType w:val="hybridMultilevel"/>
    <w:tmpl w:val="5B1A823C"/>
    <w:lvl w:ilvl="0" w:tplc="AF9C6828">
      <w:start w:val="1"/>
      <w:numFmt w:val="bullet"/>
      <w:lvlText w:val="•"/>
      <w:lvlJc w:val="left"/>
      <w:pPr>
        <w:ind w:left="360" w:hanging="260"/>
      </w:pPr>
    </w:lvl>
    <w:lvl w:ilvl="1" w:tplc="353ED616">
      <w:numFmt w:val="decimal"/>
      <w:lvlText w:val=""/>
      <w:lvlJc w:val="left"/>
    </w:lvl>
    <w:lvl w:ilvl="2" w:tplc="9D566620">
      <w:numFmt w:val="decimal"/>
      <w:lvlText w:val=""/>
      <w:lvlJc w:val="left"/>
    </w:lvl>
    <w:lvl w:ilvl="3" w:tplc="461C2ECE">
      <w:numFmt w:val="decimal"/>
      <w:lvlText w:val=""/>
      <w:lvlJc w:val="left"/>
    </w:lvl>
    <w:lvl w:ilvl="4" w:tplc="1EC61498">
      <w:numFmt w:val="decimal"/>
      <w:lvlText w:val=""/>
      <w:lvlJc w:val="left"/>
    </w:lvl>
    <w:lvl w:ilvl="5" w:tplc="49BE6778">
      <w:numFmt w:val="decimal"/>
      <w:lvlText w:val=""/>
      <w:lvlJc w:val="left"/>
    </w:lvl>
    <w:lvl w:ilvl="6" w:tplc="BFF82914">
      <w:numFmt w:val="decimal"/>
      <w:lvlText w:val=""/>
      <w:lvlJc w:val="left"/>
    </w:lvl>
    <w:lvl w:ilvl="7" w:tplc="59D001E6">
      <w:numFmt w:val="decimal"/>
      <w:lvlText w:val=""/>
      <w:lvlJc w:val="left"/>
    </w:lvl>
    <w:lvl w:ilvl="8" w:tplc="1CE0FC88">
      <w:numFmt w:val="decimal"/>
      <w:lvlText w:val=""/>
      <w:lvlJc w:val="left"/>
    </w:lvl>
  </w:abstractNum>
  <w:num w:numId="1" w16cid:durableId="235818721">
    <w:abstractNumId w:val="0"/>
    <w:lvlOverride w:ilvl="0">
      <w:startOverride w:val="1"/>
    </w:lvlOverride>
  </w:num>
  <w:num w:numId="2" w16cid:durableId="1593395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2C8"/>
    <w:rsid w:val="00466EEA"/>
    <w:rsid w:val="009212C8"/>
    <w:rsid w:val="00981EBD"/>
    <w:rsid w:val="00AF0C52"/>
    <w:rsid w:val="00B0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2A50"/>
  <w15:docId w15:val="{F45AB7F9-3FC1-4DD5-A982-D93A5229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Adetayo James</cp:lastModifiedBy>
  <cp:revision>2</cp:revision>
  <dcterms:created xsi:type="dcterms:W3CDTF">2026-09-15T14:44:00Z</dcterms:created>
  <dcterms:modified xsi:type="dcterms:W3CDTF">2026-09-17T10:20:00Z</dcterms:modified>
</cp:coreProperties>
</file>