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26.jpg" ContentType="image/jpeg"/>
  <Override PartName="/word/media/rId24.jpg" ContentType="image/jpeg"/>
  <Override PartName="/word/media/rId3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numerique-sensibiliser-aux-nouveaux-usages-numériques-en-réduisant-les-obstacles-culturels-etou-sociaux"/>
    <w:p>
      <w:pPr>
        <w:pStyle w:val="Heading1"/>
      </w:pPr>
      <w:r>
        <w:t xml:space="preserve">NUMERIQUE – Sensibiliser aux nouveaux usages numériques en réduisant les obstacles culturels et/ou sociaux</w:t>
      </w:r>
    </w:p>
    <w:bookmarkEnd w:id="21"/>
    <w:p>
      <w:r>
        <w:t xml:space="preserve">Nous menons une politique volontariste dans ce domaine précis, parce que nous souhaitons favoriser l’intergénérationnel et la mixité sociale de nos publics. Ainsi, nous assurons un accueil chaque samedi matin (visite des ateliers).</w:t>
      </w:r>
    </w:p>
    <w:bookmarkStart w:id="22" w:name="vendredimoitout"/>
    <w:p>
      <w:pPr>
        <w:pStyle w:val="Heading2"/>
      </w:pPr>
      <w:r>
        <w:t xml:space="preserve">VendrediMoiTout</w:t>
      </w:r>
    </w:p>
    <w:bookmarkEnd w:id="22"/>
    <w:p>
      <w:r>
        <w:t xml:space="preserve">Par ailleurs, nous avons organisé 9</w:t>
      </w:r>
      <w:r>
        <w:t xml:space="preserve"> </w:t>
      </w:r>
      <w:r>
        <w:rPr>
          <w:b/>
        </w:rPr>
        <w:t xml:space="preserve">Vendredimoitout,</w:t>
      </w:r>
      <w:r>
        <w:t xml:space="preserve"> </w:t>
      </w:r>
      <w:r>
        <w:t xml:space="preserve">conférences participatives ouvertes à tous , sur différents thèmes en lien avec le numérique :</w:t>
      </w:r>
    </w:p>
    <w:p>
      <w:pPr>
        <w:pStyle w:val="Compact"/>
        <w:numPr>
          <w:numId w:val="2"/>
          <w:ilvl w:val="0"/>
        </w:numPr>
      </w:pPr>
      <w:r>
        <w:t xml:space="preserve">20 avril : SCIC (sociétés coopératives d’intérêt collectif)</w:t>
      </w:r>
    </w:p>
    <w:p>
      <w:pPr>
        <w:pStyle w:val="Compact"/>
        <w:numPr>
          <w:numId w:val="2"/>
          <w:ilvl w:val="0"/>
        </w:numPr>
      </w:pPr>
      <w:r>
        <w:t xml:space="preserve">18 mai : Creative Common, la créativité partagée</w:t>
      </w:r>
    </w:p>
    <w:p>
      <w:pPr>
        <w:pStyle w:val="Compact"/>
        <w:numPr>
          <w:numId w:val="2"/>
          <w:ilvl w:val="0"/>
        </w:numPr>
      </w:pPr>
      <w:r>
        <w:t xml:space="preserve">22 juin : la place des initiatives citoyennes dans la gestion des données énergétiques avec l’intervention d’ALOEN et EMPOWER</w:t>
      </w:r>
    </w:p>
    <w:p>
      <w:pPr>
        <w:pStyle w:val="Compact"/>
        <w:numPr>
          <w:numId w:val="2"/>
          <w:ilvl w:val="0"/>
        </w:numPr>
      </w:pPr>
      <w:r>
        <w:t xml:space="preserve">28 septembre : le smartphone est-il l’avenir de la photo ?, en collaboration avec l’association Camp’TIC, qui reste notre partenaire privilégié.</w:t>
      </w:r>
    </w:p>
    <w:p>
      <w:r>
        <w:t xml:space="preserve">Petit bémol : bien que le niveau et l’intérêt de ces mini-conférences interactives soient montés en flèche, la participation du public reste volatile et trop faible.</w:t>
      </w:r>
    </w:p>
    <w:bookmarkStart w:id="23" w:name="inclusion-numérique"/>
    <w:p>
      <w:pPr>
        <w:pStyle w:val="Heading2"/>
      </w:pPr>
      <w:r>
        <w:t xml:space="preserve">Inclusion numérique</w:t>
      </w:r>
    </w:p>
    <w:bookmarkEnd w:id="23"/>
    <w:p>
      <w:r>
        <w:t xml:space="preserve">Toujours dans l’objectif de contribuer à l’inclusion numérique par la découverte des nouveaux usages, nous continuons d’avoir très régulièrement des</w:t>
      </w:r>
      <w:r>
        <w:t xml:space="preserve"> </w:t>
      </w:r>
      <w:r>
        <w:rPr>
          <w:b/>
        </w:rPr>
        <w:t xml:space="preserve">visites sur rendez-vous</w:t>
      </w:r>
      <w:r>
        <w:t xml:space="preserve"> </w:t>
      </w:r>
      <w:r>
        <w:t xml:space="preserve">d’acteurs du territoire :</w:t>
      </w:r>
    </w:p>
    <w:p>
      <w:pPr>
        <w:pStyle w:val="Compact"/>
        <w:numPr>
          <w:numId w:val="3"/>
          <w:ilvl w:val="0"/>
        </w:numPr>
      </w:pPr>
      <w:r>
        <w:t xml:space="preserve">Conseil de développement du Pays d’Auray (CODEPA)</w:t>
      </w:r>
    </w:p>
    <w:p>
      <w:pPr>
        <w:pStyle w:val="Compact"/>
        <w:numPr>
          <w:numId w:val="3"/>
          <w:ilvl w:val="0"/>
        </w:numPr>
      </w:pPr>
      <w:r>
        <w:t xml:space="preserve">Multi-accueil Gribouille</w:t>
      </w:r>
    </w:p>
    <w:p>
      <w:pPr>
        <w:pStyle w:val="Compact"/>
        <w:numPr>
          <w:numId w:val="3"/>
          <w:ilvl w:val="0"/>
        </w:numPr>
      </w:pPr>
      <w:r>
        <w:t xml:space="preserve">bibliothèque Crac’h</w:t>
      </w:r>
    </w:p>
    <w:p>
      <w:pPr>
        <w:pStyle w:val="Compact"/>
        <w:numPr>
          <w:numId w:val="3"/>
          <w:ilvl w:val="0"/>
        </w:numPr>
      </w:pPr>
      <w:r>
        <w:t xml:space="preserve">Dominitis</w:t>
      </w:r>
    </w:p>
    <w:p>
      <w:pPr>
        <w:pStyle w:val="Compact"/>
        <w:numPr>
          <w:numId w:val="3"/>
          <w:ilvl w:val="0"/>
        </w:numPr>
      </w:pPr>
      <w:r>
        <w:t xml:space="preserve">Enédis</w:t>
      </w:r>
    </w:p>
    <w:p>
      <w:pPr>
        <w:pStyle w:val="Compact"/>
        <w:numPr>
          <w:numId w:val="3"/>
          <w:ilvl w:val="0"/>
        </w:numPr>
      </w:pPr>
      <w:r>
        <w:t xml:space="preserve">mensuel du Golfe</w:t>
      </w:r>
    </w:p>
    <w:p>
      <w:pPr>
        <w:pStyle w:val="Compact"/>
        <w:numPr>
          <w:numId w:val="3"/>
          <w:ilvl w:val="0"/>
        </w:numPr>
      </w:pPr>
      <w:r>
        <w:t xml:space="preserve">CAF</w:t>
      </w:r>
    </w:p>
    <w:p>
      <w:pPr>
        <w:pStyle w:val="Compact"/>
        <w:numPr>
          <w:numId w:val="3"/>
          <w:ilvl w:val="0"/>
        </w:numPr>
      </w:pPr>
      <w:r>
        <w:t xml:space="preserve">CPAM</w:t>
      </w:r>
    </w:p>
    <w:p>
      <w:pPr>
        <w:pStyle w:val="Compact"/>
        <w:numPr>
          <w:numId w:val="3"/>
          <w:ilvl w:val="0"/>
        </w:numPr>
      </w:pPr>
      <w:r>
        <w:t xml:space="preserve">Inclusion numérique</w:t>
      </w:r>
    </w:p>
    <w:p>
      <w:pPr>
        <w:pStyle w:val="Compact"/>
        <w:numPr>
          <w:numId w:val="3"/>
          <w:ilvl w:val="0"/>
        </w:numPr>
      </w:pPr>
      <w:r>
        <w:t xml:space="preserve">ENVSN</w:t>
      </w:r>
    </w:p>
    <w:p>
      <w:pPr>
        <w:pStyle w:val="Compact"/>
        <w:numPr>
          <w:numId w:val="3"/>
          <w:ilvl w:val="0"/>
        </w:numPr>
      </w:pPr>
      <w:r>
        <w:t xml:space="preserve">ESAT à Brec’h (5 août)</w:t>
      </w:r>
    </w:p>
    <w:p>
      <w:pPr>
        <w:pStyle w:val="Compact"/>
        <w:numPr>
          <w:numId w:val="3"/>
          <w:ilvl w:val="0"/>
        </w:numPr>
      </w:pPr>
      <w:r>
        <w:t xml:space="preserve">5 professeurs de l’école élémentaire publiques du Loch à Auray (17 octobre)</w:t>
      </w:r>
    </w:p>
    <w:p>
      <w:pPr>
        <w:pStyle w:val="Compact"/>
        <w:numPr>
          <w:numId w:val="3"/>
          <w:ilvl w:val="0"/>
        </w:numPr>
      </w:pPr>
      <w:r>
        <w:t xml:space="preserve">Service Enfance-Jeunesse de St- Avé (13 février),</w:t>
      </w:r>
    </w:p>
    <w:p>
      <w:pPr>
        <w:pStyle w:val="Compact"/>
        <w:numPr>
          <w:numId w:val="3"/>
          <w:ilvl w:val="0"/>
        </w:numPr>
      </w:pPr>
      <w:r>
        <w:t xml:space="preserve">lycées de Chinon et de Duguesclin,</w:t>
      </w:r>
    </w:p>
    <w:p>
      <w:pPr>
        <w:pStyle w:val="Compact"/>
        <w:numPr>
          <w:numId w:val="3"/>
          <w:ilvl w:val="0"/>
        </w:numPr>
      </w:pPr>
      <w:r>
        <w:t xml:space="preserve">1 conseiller en insertion du Conseil Départemental du Morbihan.</w:t>
      </w:r>
    </w:p>
    <w:p>
      <w:r>
        <w:drawing>
          <wp:inline>
            <wp:extent cx="67729100" cy="38100000"/>
            <wp:effectExtent b="0" l="0" r="0" t="0"/>
            <wp:docPr descr="" id="1" name="Picture"/>
            <a:graphic>
              <a:graphicData uri="http://schemas.openxmlformats.org/drawingml/2006/picture">
                <pic:pic>
                  <pic:nvPicPr>
                    <pic:cNvPr descr="../images/WorkshopBlend.JPG" id="0" name="Picture"/>
                    <pic:cNvPicPr>
                      <a:picLocks noChangeArrowheads="1" noChangeAspect="1"/>
                    </pic:cNvPicPr>
                  </pic:nvPicPr>
                  <pic:blipFill>
                    <a:blip r:embed="rId24"/>
                    <a:stretch>
                      <a:fillRect/>
                    </a:stretch>
                  </pic:blipFill>
                  <pic:spPr bwMode="auto">
                    <a:xfrm>
                      <a:off x="0" y="0"/>
                      <a:ext cx="67729100" cy="38100000"/>
                    </a:xfrm>
                    <a:prstGeom prst="rect">
                      <a:avLst/>
                    </a:prstGeom>
                    <a:noFill/>
                    <a:ln w="9525">
                      <a:noFill/>
                      <a:headEnd/>
                      <a:tailEnd/>
                    </a:ln>
                  </pic:spPr>
                </pic:pic>
              </a:graphicData>
            </a:graphic>
          </wp:inline>
        </w:drawing>
      </w:r>
      <w:r>
        <w:t xml:space="preserve">{: width="600px" }</w:t>
      </w:r>
    </w:p>
    <w:bookmarkStart w:id="25" w:name="communication"/>
    <w:p>
      <w:pPr>
        <w:pStyle w:val="Heading2"/>
      </w:pPr>
      <w:r>
        <w:t xml:space="preserve">Communication</w:t>
      </w:r>
    </w:p>
    <w:bookmarkEnd w:id="25"/>
    <w:p>
      <w:r>
        <w:t xml:space="preserve">Dans le but d’accroitre la visibilité de nos activités, nous avons développé différents outils de communication. Nous avons ajouter des pages à notre site Internet,</w:t>
      </w:r>
      <w:r>
        <w:t xml:space="preserve"> </w:t>
      </w:r>
      <w:r>
        <w:rPr>
          <w:b/>
        </w:rPr>
        <w:t xml:space="preserve">étoffé notre FABLETTER,</w:t>
      </w:r>
      <w:r>
        <w:t xml:space="preserve"> </w:t>
      </w:r>
      <w:r>
        <w:t xml:space="preserve">mensuel présentant le programme du mois à venir.</w:t>
      </w:r>
    </w:p>
    <w:p>
      <w:r>
        <w:t xml:space="preserve">Pour communiquer sur les projets, nous menons la campagne des bulles</w:t>
      </w:r>
      <w:r>
        <w:t xml:space="preserve"> </w:t>
      </w:r>
      <w:r>
        <w:rPr>
          <w:b/>
        </w:rPr>
        <w:t xml:space="preserve">“c’est moi qui l’ai FAB”</w:t>
      </w:r>
      <w:r>
        <w:t xml:space="preserve"> </w:t>
      </w:r>
      <w:r>
        <w:t xml:space="preserve">ou</w:t>
      </w:r>
      <w:r>
        <w:t xml:space="preserve"> </w:t>
      </w:r>
      <w:r>
        <w:rPr>
          <w:b/>
        </w:rPr>
        <w:t xml:space="preserve">“c’est nous qui l’avons FAB”</w:t>
      </w:r>
      <w:r>
        <w:t xml:space="preserve"> </w:t>
      </w:r>
      <w:r>
        <w:t xml:space="preserve">(de la conception du support au collage) et nous diffusons l’information avec l’aide des réseaux concernés.</w:t>
      </w:r>
    </w:p>
    <w:p>
      <w:r>
        <w:drawing>
          <wp:inline>
            <wp:extent cx="10795000" cy="7200900"/>
            <wp:effectExtent b="0" l="0" r="0" t="0"/>
            <wp:docPr descr="" id="1" name="Picture"/>
            <a:graphic>
              <a:graphicData uri="http://schemas.openxmlformats.org/drawingml/2006/picture">
                <pic:pic>
                  <pic:nvPicPr>
                    <pic:cNvPr descr="../images/RI10a.jpg" id="0" name="Picture"/>
                    <pic:cNvPicPr>
                      <a:picLocks noChangeArrowheads="1" noChangeAspect="1"/>
                    </pic:cNvPicPr>
                  </pic:nvPicPr>
                  <pic:blipFill>
                    <a:blip r:embed="rId26"/>
                    <a:stretch>
                      <a:fillRect/>
                    </a:stretch>
                  </pic:blipFill>
                  <pic:spPr bwMode="auto">
                    <a:xfrm>
                      <a:off x="0" y="0"/>
                      <a:ext cx="10795000" cy="7200900"/>
                    </a:xfrm>
                    <a:prstGeom prst="rect">
                      <a:avLst/>
                    </a:prstGeom>
                    <a:noFill/>
                    <a:ln w="9525">
                      <a:noFill/>
                      <a:headEnd/>
                      <a:tailEnd/>
                    </a:ln>
                  </pic:spPr>
                </pic:pic>
              </a:graphicData>
            </a:graphic>
          </wp:inline>
        </w:drawing>
      </w:r>
      <w:r>
        <w:t xml:space="preserve">{: width="600px" }</w:t>
      </w:r>
    </w:p>
    <w:p>
      <w:r>
        <w:rPr>
          <w:b/>
        </w:rPr>
        <w:t xml:space="preserve">La communication reste à privilégier</w:t>
      </w:r>
      <w:r>
        <w:t xml:space="preserve"> </w:t>
      </w:r>
      <w:r>
        <w:t xml:space="preserve">pour le mandat à venir.</w:t>
      </w:r>
    </w:p>
    <w:bookmarkStart w:id="27" w:name="la-réalisation-de-tutoriels"/>
    <w:p>
      <w:pPr>
        <w:pStyle w:val="Heading2"/>
      </w:pPr>
      <w:r>
        <w:t xml:space="preserve">La réalisation de tutoriels</w:t>
      </w:r>
    </w:p>
    <w:bookmarkEnd w:id="27"/>
    <w:p>
      <w:r>
        <w:t xml:space="preserve">Depuis le début de l’association, des tutoriels ont été créés sur l’utilisation des machines, leurs réglages et nous devons beaucoup à un bénévole qui s'est beaucoup investi pour la Fabrique, Ludo. Ces tutoriels ont été transcrits en documents</w:t>
      </w:r>
      <w:r>
        <w:t xml:space="preserve"> </w:t>
      </w:r>
      <w:r>
        <w:rPr>
          <w:b/>
        </w:rPr>
        <w:t xml:space="preserve">publiés sur le web</w:t>
      </w:r>
      <w:r>
        <w:t xml:space="preserve"> </w:t>
      </w:r>
      <w:r>
        <w:t xml:space="preserve">pour un accès plus facile à cette documentation et dans le respect de nos valeurs de partage.</w:t>
      </w:r>
    </w:p>
    <w:p>
      <w:r>
        <w:t xml:space="preserve">La création de contenu permet à la FABrique du loch d’augmenter sa visibilité sur l’Internet.</w:t>
      </w:r>
    </w:p>
    <w:p>
      <w:r>
        <w:drawing>
          <wp:inline>
            <wp:extent cx="67729100" cy="38100000"/>
            <wp:effectExtent b="0" l="0" r="0" t="0"/>
            <wp:docPr descr="" id="1" name="Picture"/>
            <a:graphic>
              <a:graphicData uri="http://schemas.openxmlformats.org/drawingml/2006/picture">
                <pic:pic>
                  <pic:nvPicPr>
                    <pic:cNvPr descr="../images/DSC_1375.JPG" id="0" name="Picture"/>
                    <pic:cNvPicPr>
                      <a:picLocks noChangeArrowheads="1" noChangeAspect="1"/>
                    </pic:cNvPicPr>
                  </pic:nvPicPr>
                  <pic:blipFill>
                    <a:blip r:embed="rId28"/>
                    <a:stretch>
                      <a:fillRect/>
                    </a:stretch>
                  </pic:blipFill>
                  <pic:spPr bwMode="auto">
                    <a:xfrm>
                      <a:off x="0" y="0"/>
                      <a:ext cx="67729100" cy="38100000"/>
                    </a:xfrm>
                    <a:prstGeom prst="rect">
                      <a:avLst/>
                    </a:prstGeom>
                    <a:noFill/>
                    <a:ln w="9525">
                      <a:noFill/>
                      <a:headEnd/>
                      <a:tailEnd/>
                    </a:ln>
                  </pic:spPr>
                </pic:pic>
              </a:graphicData>
            </a:graphic>
          </wp:inline>
        </w:drawing>
      </w:r>
      <w:r>
        <w:t xml:space="preserve">{: width="600px" }</w:t>
      </w:r>
    </w:p>
    <w:bookmarkStart w:id="29" w:name="questions"/>
    <w:p>
      <w:pPr>
        <w:pStyle w:val="Heading3"/>
      </w:pPr>
      <w:r>
        <w:t xml:space="preserve">Questions</w:t>
      </w:r>
    </w:p>
    <w:bookmarkEnd w:id="29"/>
    <w:bookmarkStart w:id="30" w:name="documentation-et-propriété-intellectuelle"/>
    <w:p>
      <w:pPr>
        <w:pStyle w:val="Heading4"/>
      </w:pPr>
      <w:r>
        <w:t xml:space="preserve">Documentation et propriété intellectuelle</w:t>
      </w:r>
    </w:p>
    <w:bookmarkEnd w:id="30"/>
    <w:p>
      <w:r>
        <w:t xml:space="preserve">Qu'en est-il d'un projet dont on souhaite conserver la propriété intellectuelle?</w:t>
      </w:r>
    </w:p>
    <w:p>
      <w:r>
        <w:rPr>
          <w:b/>
        </w:rPr>
        <w:t xml:space="preserve">Un projet non documenté est inexistant pour le Fablab</w:t>
      </w:r>
    </w:p>
    <w:p>
      <w:r>
        <w:t xml:space="preserve">Les projets réalisés à la FABrique</w:t>
      </w:r>
    </w:p>
    <w:bookmarkStart w:id="31" w:name="créations-de-vidéos"/>
    <w:p>
      <w:pPr>
        <w:pStyle w:val="Heading4"/>
      </w:pPr>
      <w:r>
        <w:t xml:space="preserve">Créations de vidéos</w:t>
      </w:r>
    </w:p>
    <w:bookmarkEnd w:id="31"/>
    <w:p>
      <w:r>
        <w:t xml:space="preserve">Des adhérents ont rappelé qu'il est possible aussi de créer des vidéos. Le Conseil d'Administration rappelle que cela a été étudié lors d'une mandature précédente et qu'il avait été constaté que la création d'une vidéo de qualité nécessitait trop d'efforts.</w:t>
      </w:r>
    </w:p>
    <w:bookmarkStart w:id="32" w:name="le-projet-algoric"/>
    <w:p>
      <w:pPr>
        <w:pStyle w:val="Heading4"/>
      </w:pPr>
      <w:r>
        <w:t xml:space="preserve">Le projet Algoric</w:t>
      </w:r>
    </w:p>
    <w:bookmarkEnd w:id="32"/>
    <w:p>
      <w:r>
        <w:t xml:space="preserve">Benoit, un adhérent expert en calcul parallèle, a su enthousiasmer l’ensemble du conseil d’administration à expérimenter le recyclage de machines à forte capacité de calcul au sein d’un fablab.</w:t>
      </w:r>
    </w:p>
    <w:p>
      <w:r>
        <w:t xml:space="preserve">Nous n’avons pas encore trouvé de lieu pour héberger ces machines, nécessitant un environnement spécifique que l’on peut retrouver</w:t>
      </w:r>
    </w:p>
    <w:p>
      <w:r>
        <w:t xml:space="preserve">Nous avons pour le moment quelques promesses d’utilisation par des entreprises locales, mais les conditions d’hébergement peuvent impacter le prix de l’heure de calcul.</w:t>
      </w:r>
    </w:p>
    <w:p>
      <w:r>
        <w:t xml:space="preserve">Il a été établi au lancement de ce projet que le prix ne saurait être très inférieur aux solutions existantes privées.</w:t>
      </w:r>
    </w:p>
    <w:p>
      <w:r>
        <w:t xml:space="preserve">Il s'agit d'un très beau projet, qui pourrait faire de La FABrique du Loch un des tout premiers</w:t>
      </w:r>
      <w:r>
        <w:t xml:space="preserve"> </w:t>
      </w:r>
      <w:r>
        <w:rPr>
          <w:b/>
        </w:rPr>
        <w:t xml:space="preserve">Hyperlabs</w:t>
      </w:r>
      <w:r>
        <w:t xml:space="preserve"> </w:t>
      </w:r>
      <w:r>
        <w:t xml:space="preserve">au monde.</w:t>
      </w:r>
    </w:p>
    <w:p>
      <w:r>
        <w:drawing>
          <wp:inline>
            <wp:extent cx="32918400" cy="18516600"/>
            <wp:effectExtent b="0" l="0" r="0" t="0"/>
            <wp:docPr descr="" id="1" name="Picture"/>
            <a:graphic>
              <a:graphicData uri="http://schemas.openxmlformats.org/drawingml/2006/picture">
                <pic:pic>
                  <pic:nvPicPr>
                    <pic:cNvPr descr="../images/hyperlab.JPG" id="0" name="Picture"/>
                    <pic:cNvPicPr>
                      <a:picLocks noChangeArrowheads="1" noChangeAspect="1"/>
                    </pic:cNvPicPr>
                  </pic:nvPicPr>
                  <pic:blipFill>
                    <a:blip r:embed="rId33"/>
                    <a:stretch>
                      <a:fillRect/>
                    </a:stretch>
                  </pic:blipFill>
                  <pic:spPr bwMode="auto">
                    <a:xfrm>
                      <a:off x="0" y="0"/>
                      <a:ext cx="32918400" cy="18516600"/>
                    </a:xfrm>
                    <a:prstGeom prst="rect">
                      <a:avLst/>
                    </a:prstGeom>
                    <a:noFill/>
                    <a:ln w="9525">
                      <a:noFill/>
                      <a:headEnd/>
                      <a:tailEnd/>
                    </a:ln>
                  </pic:spPr>
                </pic:pic>
              </a:graphicData>
            </a:graphic>
          </wp:inline>
        </w:drawing>
      </w:r>
    </w:p>
    <w:p>
      <w:pPr>
        <w:pStyle w:val="ImageCaption"/>
      </w:pPr>
      <w:r>
        <w:t xml:space="preserve">hyperlab</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d331872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ef8d547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26" Target="media/rId26.jpg" /><Relationship Type="http://schemas.openxmlformats.org/officeDocument/2006/relationships/image" Id="rId24" Target="media/rId24.jpg" /><Relationship Type="http://schemas.openxmlformats.org/officeDocument/2006/relationships/image" Id="rId33" Target="media/rId3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