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8.png" ContentType="image/png"/>
  <Override PartName="/word/media/rId59.png" ContentType="image/png"/>
  <Override PartName="/word/media/rId66.png" ContentType="image/png"/>
  <Override PartName="/word/media/rId67.png" ContentType="image/png"/>
  <Override PartName="/word/media/rId7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Compact"/>
      </w:pPr>
      <w:r>
        <w:t xml:space="preserve">RH Exemple</w:t>
      </w:r>
    </w:p>
    <w:p>
      <w:pPr>
        <w:pStyle w:val="Compact"/>
      </w:pPr>
      <w:r>
        <w:t xml:space="preserve">Exercices 2010 à 2013</w:t>
      </w:r>
      <w:r>
        <w:t xml:space="preserve"> </w:t>
      </w:r>
    </w:p>
    <w:p>
      <w:pPr>
        <w:pStyle w:val="Compact"/>
      </w:pPr>
      <w:r>
        <w:t xml:space="preserve">Fabrice Nicol</w:t>
      </w:r>
    </w:p>
    <w:p>
      <w:r>
        <w:t xml:space="preserve">lun. 24 nov. 2014</w:t>
      </w:r>
    </w:p>
    <w:bookmarkStart w:id="21" w:name="statistiques-de-population"/>
    <w:p>
      <w:pPr>
        <w:pStyle w:val="Heading1"/>
      </w:pPr>
      <w:r>
        <w:t xml:space="preserve">1. Statistiques de population</w:t>
      </w:r>
    </w:p>
    <w:bookmarkEnd w:id="21"/>
    <w:bookmarkStart w:id="22" w:name="effectifs"/>
    <w:p>
      <w:pPr>
        <w:pStyle w:val="Heading3"/>
      </w:pPr>
      <w:r>
        <w:t xml:space="preserve">1.1 Effectifs</w:t>
      </w:r>
    </w:p>
    <w:bookmarkEnd w:id="22"/>
    <w:p>
      <w:r>
        <w:t xml:space="preserve"> </w:t>
      </w:r>
      <w:r>
        <w:rPr>
          <w:i/>
        </w:rPr>
        <w:t xml:space="preserve">Tableau 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effectifs</w:t>
            </w:r>
          </w:p>
        </w:tc>
        <w:tc>
          <w:p>
            <w:pPr>
              <w:pStyle w:val="Compact"/>
              <w:jc w:val="center"/>
            </w:pPr>
            <w:r>
              <w:t xml:space="preserve">769,0</w:t>
            </w:r>
          </w:p>
        </w:tc>
        <w:tc>
          <w:p>
            <w:pPr>
              <w:pStyle w:val="Compact"/>
              <w:jc w:val="center"/>
            </w:pPr>
            <w:r>
              <w:t xml:space="preserve">698,0</w:t>
            </w:r>
          </w:p>
        </w:tc>
        <w:tc>
          <w:p>
            <w:pPr>
              <w:pStyle w:val="Compact"/>
              <w:jc w:val="center"/>
            </w:pPr>
            <w:r>
              <w:t xml:space="preserve">714,0</w:t>
            </w:r>
          </w:p>
        </w:tc>
        <w:tc>
          <w:p>
            <w:pPr>
              <w:pStyle w:val="Compact"/>
              <w:jc w:val="center"/>
            </w:pPr>
            <w:r>
              <w:t xml:space="preserve">703,0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462,0</w:t>
            </w:r>
          </w:p>
        </w:tc>
        <w:tc>
          <w:p>
            <w:pPr>
              <w:pStyle w:val="Compact"/>
              <w:jc w:val="center"/>
            </w:pPr>
            <w:r>
              <w:t xml:space="preserve">444,0</w:t>
            </w:r>
          </w:p>
        </w:tc>
        <w:tc>
          <w:p>
            <w:pPr>
              <w:pStyle w:val="Compact"/>
              <w:jc w:val="center"/>
            </w:pPr>
            <w:r>
              <w:t xml:space="preserve">428,0</w:t>
            </w:r>
          </w:p>
        </w:tc>
        <w:tc>
          <w:p>
            <w:pPr>
              <w:pStyle w:val="Compact"/>
              <w:jc w:val="center"/>
            </w:pPr>
            <w:r>
              <w:t xml:space="preserve">433,0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fonctionnaires</w:t>
            </w:r>
          </w:p>
        </w:tc>
        <w:tc>
          <w:p>
            <w:pPr>
              <w:pStyle w:val="Compact"/>
              <w:jc w:val="center"/>
            </w:pPr>
            <w:r>
              <w:t xml:space="preserve">431,0</w:t>
            </w:r>
          </w:p>
        </w:tc>
        <w:tc>
          <w:p>
            <w:pPr>
              <w:pStyle w:val="Compact"/>
              <w:jc w:val="center"/>
            </w:pPr>
            <w:r>
              <w:t xml:space="preserve">423,0</w:t>
            </w:r>
          </w:p>
        </w:tc>
        <w:tc>
          <w:p>
            <w:pPr>
              <w:pStyle w:val="Compact"/>
              <w:jc w:val="center"/>
            </w:pPr>
            <w:r>
              <w:t xml:space="preserve">427,0</w:t>
            </w:r>
          </w:p>
        </w:tc>
        <w:tc>
          <w:p>
            <w:pPr>
              <w:pStyle w:val="Compact"/>
              <w:jc w:val="center"/>
            </w:pPr>
            <w:r>
              <w:t xml:space="preserve">417,0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fonct.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403,0</w:t>
            </w:r>
          </w:p>
        </w:tc>
        <w:tc>
          <w:p>
            <w:pPr>
              <w:pStyle w:val="Compact"/>
              <w:jc w:val="center"/>
            </w:pPr>
            <w:r>
              <w:t xml:space="preserve">402,0</w:t>
            </w:r>
          </w:p>
        </w:tc>
        <w:tc>
          <w:p>
            <w:pPr>
              <w:pStyle w:val="Compact"/>
              <w:jc w:val="center"/>
            </w:pPr>
            <w:r>
              <w:t xml:space="preserve">384,0</w:t>
            </w:r>
          </w:p>
        </w:tc>
        <w:tc>
          <w:p>
            <w:pPr>
              <w:pStyle w:val="Compact"/>
              <w:jc w:val="center"/>
            </w:pPr>
            <w:r>
              <w:t xml:space="preserve">391,0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élus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25,0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élus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13,0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vacataires détectés (a)</w:t>
            </w:r>
          </w:p>
        </w:tc>
        <w:tc>
          <w:p>
            <w:pPr>
              <w:pStyle w:val="Compact"/>
              <w:jc w:val="center"/>
            </w:pPr>
            <w:r>
              <w:t xml:space="preserve">48,0</w:t>
            </w:r>
          </w:p>
        </w:tc>
        <w:tc>
          <w:p>
            <w:pPr>
              <w:pStyle w:val="Compact"/>
              <w:jc w:val="center"/>
            </w:pPr>
            <w:r>
              <w:t xml:space="preserve">48,0</w:t>
            </w:r>
          </w:p>
        </w:tc>
        <w:tc>
          <w:p>
            <w:pPr>
              <w:pStyle w:val="Compact"/>
              <w:jc w:val="center"/>
            </w:pPr>
            <w:r>
              <w:t xml:space="preserve">45,0</w:t>
            </w:r>
          </w:p>
        </w:tc>
        <w:tc>
          <w:p>
            <w:pPr>
              <w:pStyle w:val="Compact"/>
              <w:jc w:val="center"/>
            </w:pPr>
            <w:r>
              <w:t xml:space="preserve">46,0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assistantes maternelles détectées (a)</w:t>
            </w:r>
          </w:p>
        </w:tc>
        <w:tc>
          <w:p>
            <w:pPr>
              <w:pStyle w:val="Compact"/>
              <w:jc w:val="center"/>
            </w:pPr>
            <w:r>
              <w:t xml:space="preserve">15,0</w:t>
            </w:r>
          </w:p>
        </w:tc>
        <w:tc>
          <w:p>
            <w:pPr>
              <w:pStyle w:val="Compact"/>
              <w:jc w:val="center"/>
            </w:pPr>
            <w:r>
              <w:t xml:space="preserve">4,0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ETP/année (b)</w:t>
            </w:r>
          </w:p>
        </w:tc>
        <w:tc>
          <w:p>
            <w:pPr>
              <w:pStyle w:val="Compact"/>
              <w:jc w:val="center"/>
            </w:pPr>
            <w:r>
              <w:t xml:space="preserve">546,8</w:t>
            </w:r>
          </w:p>
        </w:tc>
        <w:tc>
          <w:p>
            <w:pPr>
              <w:pStyle w:val="Compact"/>
              <w:jc w:val="center"/>
            </w:pPr>
            <w:r>
              <w:t xml:space="preserve">550,5</w:t>
            </w:r>
          </w:p>
        </w:tc>
        <w:tc>
          <w:p>
            <w:pPr>
              <w:pStyle w:val="Compact"/>
              <w:jc w:val="center"/>
            </w:pPr>
            <w:r>
              <w:t xml:space="preserve">536,9</w:t>
            </w:r>
          </w:p>
        </w:tc>
        <w:tc>
          <w:p>
            <w:pPr>
              <w:pStyle w:val="Compact"/>
              <w:jc w:val="center"/>
            </w:pPr>
            <w:r>
              <w:t xml:space="preserve">541,5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(c)</w:t>
            </w:r>
          </w:p>
        </w:tc>
        <w:tc>
          <w:p>
            <w:pPr>
              <w:pStyle w:val="Compact"/>
              <w:jc w:val="center"/>
            </w:pPr>
            <w:r>
              <w:t xml:space="preserve">458,9</w:t>
            </w:r>
          </w:p>
        </w:tc>
        <w:tc>
          <w:p>
            <w:pPr>
              <w:pStyle w:val="Compact"/>
              <w:jc w:val="center"/>
            </w:pPr>
            <w:r>
              <w:t xml:space="preserve">453,0</w:t>
            </w:r>
          </w:p>
        </w:tc>
        <w:tc>
          <w:p>
            <w:pPr>
              <w:pStyle w:val="Compact"/>
              <w:jc w:val="center"/>
            </w:pPr>
            <w:r>
              <w:t xml:space="preserve">444,0</w:t>
            </w:r>
          </w:p>
        </w:tc>
        <w:tc>
          <w:p>
            <w:pPr>
              <w:pStyle w:val="Compact"/>
              <w:jc w:val="center"/>
            </w:pPr>
            <w:r>
              <w:t xml:space="preserve">449,0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personnes en place (d)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362,2</w:t>
            </w:r>
          </w:p>
        </w:tc>
        <w:tc>
          <w:p>
            <w:pPr>
              <w:pStyle w:val="Compact"/>
              <w:jc w:val="center"/>
            </w:pPr>
            <w:r>
              <w:t xml:space="preserve">340,4</w:t>
            </w:r>
          </w:p>
        </w:tc>
        <w:tc>
          <w:p>
            <w:pPr>
              <w:pStyle w:val="Compact"/>
              <w:jc w:val="center"/>
            </w:pPr>
            <w:r>
              <w:t xml:space="preserve">342,0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fonctionnaires</w:t>
            </w:r>
          </w:p>
        </w:tc>
        <w:tc>
          <w:p>
            <w:pPr>
              <w:pStyle w:val="Compact"/>
              <w:jc w:val="center"/>
            </w:pPr>
            <w:r>
              <w:t xml:space="preserve">386,6</w:t>
            </w:r>
          </w:p>
        </w:tc>
        <w:tc>
          <w:p>
            <w:pPr>
              <w:pStyle w:val="Compact"/>
              <w:jc w:val="center"/>
            </w:pPr>
            <w:r>
              <w:t xml:space="preserve">382,0</w:t>
            </w:r>
          </w:p>
        </w:tc>
        <w:tc>
          <w:p>
            <w:pPr>
              <w:pStyle w:val="Compact"/>
              <w:jc w:val="center"/>
            </w:pPr>
            <w:r>
              <w:t xml:space="preserve">372,4</w:t>
            </w:r>
          </w:p>
        </w:tc>
        <w:tc>
          <w:p>
            <w:pPr>
              <w:pStyle w:val="Compact"/>
              <w:jc w:val="center"/>
            </w:pPr>
            <w:r>
              <w:t xml:space="preserve">370,3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titulaires à temps complet</w:t>
            </w:r>
          </w:p>
        </w:tc>
        <w:tc>
          <w:p>
            <w:pPr>
              <w:pStyle w:val="Compact"/>
              <w:jc w:val="center"/>
            </w:pPr>
            <w:r>
              <w:t xml:space="preserve">304,0</w:t>
            </w:r>
          </w:p>
        </w:tc>
        <w:tc>
          <w:p>
            <w:pPr>
              <w:pStyle w:val="Compact"/>
              <w:jc w:val="center"/>
            </w:pPr>
            <w:r>
              <w:t xml:space="preserve">296,0</w:t>
            </w:r>
          </w:p>
        </w:tc>
        <w:tc>
          <w:p>
            <w:pPr>
              <w:pStyle w:val="Compact"/>
              <w:jc w:val="center"/>
            </w:pPr>
            <w:r>
              <w:t xml:space="preserve">264,0</w:t>
            </w:r>
          </w:p>
        </w:tc>
        <w:tc>
          <w:p>
            <w:pPr>
              <w:pStyle w:val="Compact"/>
              <w:jc w:val="center"/>
            </w:pPr>
            <w:r>
              <w:t xml:space="preserve">279,0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rPr>
          <w:i/>
        </w:rPr>
        <w:t xml:space="preserve">(a) Sur la base des libellés d'emploi et des libellés de lignes de paye. La détection peut être lacunaire</w:t>
      </w:r>
      <w:r>
        <w:br w:type="textWrapping"/>
      </w:r>
      <w:r>
        <w:rPr>
          <w:i/>
        </w:rPr>
        <w:t xml:space="preserve">(b) ETP : Equivalent temps plein = rémunération . quotité</w:t>
      </w:r>
      <w:r>
        <w:br w:type="textWrapping"/>
      </w:r>
      <w:r>
        <w:rPr>
          <w:i/>
        </w:rPr>
        <w:t xml:space="preserve">(c) ETPT : Equivalent temps plein travaillé = ETP . 12/nombre de mois travaillés dans l'année</w:t>
      </w:r>
      <w:r>
        <w:br w:type="textWrapping"/>
      </w:r>
      <w:r>
        <w:rPr>
          <w:i/>
        </w:rPr>
        <w:t xml:space="preserve">(d) Personnes en place : présentes en N et N-1 avec la même quotité</w:t>
      </w:r>
      <w:r>
        <w:br w:type="textWrapping"/>
      </w:r>
      <w:r>
        <w:t xml:space="preserve">Les cinq dernières lignes du tableau sont calculées en ne tenant pas compte des élus.</w:t>
      </w:r>
    </w:p>
    <w:p>
      <w:r>
        <w:rPr>
          <w:i/>
        </w:rPr>
        <w:t xml:space="preserve">Effectifs pourvus mesurés par l'émission d'un bulletin de paie dans l'année.</w:t>
      </w:r>
    </w:p>
    <w:p>
      <w:hyperlink r:id="rId23">
        <w:r>
          <w:rPr>
            <w:rStyle w:val="Link"/>
          </w:rPr>
          <w:t xml:space="preserve">Lien vers la base des effectifs</w:t>
        </w:r>
      </w:hyperlink>
    </w:p>
    <w:bookmarkStart w:id="24" w:name="pyramide-des-ages-personnels-non-elus"/>
    <w:p>
      <w:pPr>
        <w:pStyle w:val="Heading3"/>
      </w:pPr>
      <w:r>
        <w:t xml:space="preserve">1.2 Pyramide des âges, personnels non élus</w:t>
      </w:r>
    </w:p>
    <w:bookmarkEnd w:id="24"/>
    <w:p>
      <w:r>
        <w:t xml:space="preserve"> </w:t>
      </w:r>
      <w:r>
        <w:rPr>
          <w:i/>
        </w:rPr>
        <w:t xml:space="preserve">Tableau 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45,99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43,35</w:t>
            </w:r>
          </w:p>
        </w:tc>
        <w:tc>
          <w:p>
            <w:pPr>
              <w:pStyle w:val="Compact"/>
              <w:jc w:val="center"/>
            </w:pPr>
            <w:r>
              <w:t xml:space="preserve">528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26">
        <w:r>
          <w:rPr>
            <w:rStyle w:val="Link"/>
          </w:rPr>
          <w:t xml:space="preserve">Lien vers la base des âges</w:t>
        </w:r>
      </w:hyperlink>
    </w:p>
    <w:bookmarkStart w:id="27" w:name="pyramide-des-ages-personnels-fonctionnaires-stagiaires-et-titulaires"/>
    <w:p>
      <w:pPr>
        <w:pStyle w:val="Heading3"/>
      </w:pPr>
      <w:r>
        <w:t xml:space="preserve">1.3 Pyramide des âges, personnels fonctionnaires stagiaires et titulaires</w:t>
      </w:r>
    </w:p>
    <w:bookmarkEnd w:id="27"/>
    <w:p>
      <w:r>
        <w:t xml:space="preserve"> </w:t>
      </w:r>
      <w:r>
        <w:rPr>
          <w:i/>
        </w:rPr>
        <w:t xml:space="preserve">Tableau 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47,83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29">
        <w:r>
          <w:rPr>
            <w:rStyle w:val="Link"/>
          </w:rPr>
          <w:t xml:space="preserve">Lien vers la base des âges</w:t>
        </w:r>
      </w:hyperlink>
    </w:p>
    <w:bookmarkStart w:id="30" w:name="effectifs-des-personnels-par-duree-de-service"/>
    <w:p>
      <w:pPr>
        <w:pStyle w:val="Heading3"/>
      </w:pPr>
      <w:r>
        <w:t xml:space="preserve">1.4 Effectifs des personnels par durée de service</w:t>
      </w:r>
    </w:p>
    <w:bookmarkEnd w:id="30"/>
    <w:p>
      <w:r>
        <w:rPr>
          <w:b/>
        </w:rPr>
        <w:t xml:space="preserve">Personnels en fonction (hors élus) des exercices 2010 à 2013 inclus :</w:t>
      </w:r>
    </w:p>
    <w:p>
      <w:r>
        <w:t xml:space="preserve"> </w:t>
      </w:r>
      <w:r>
        <w:rPr>
          <w:i/>
        </w:rPr>
        <w:t xml:space="preserve">Tableau 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d'un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 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448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Effectifs (hors élus)</w:t>
      </w:r>
    </w:p>
    <w:p>
      <w:r>
        <w:t xml:space="preserve"> </w:t>
      </w:r>
      <w:r>
        <w:rPr>
          <w:i/>
        </w:rPr>
        <w:t xml:space="preserve">Tableau 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p>
            <w:pPr>
              <w:pStyle w:val="Compact"/>
              <w:jc w:val="center"/>
            </w:pPr>
            <w:r>
              <w:t xml:space="preserve">438</w:t>
            </w:r>
          </w:p>
        </w:tc>
        <w:tc>
          <w:p>
            <w:pPr>
              <w:pStyle w:val="Compact"/>
              <w:jc w:val="center"/>
            </w:pPr>
            <w:r>
              <w:t xml:space="preserve">430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473</w:t>
            </w:r>
          </w:p>
        </w:tc>
        <w:tc>
          <w:p>
            <w:pPr>
              <w:pStyle w:val="Compact"/>
              <w:jc w:val="center"/>
            </w:pPr>
            <w:r>
              <w:t xml:space="preserve">474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</w:tr>
    </w:tbl>
    <w:p>
      <w:r>
        <w:rPr>
          <w:b/>
        </w:rPr>
        <w:t xml:space="preserve">Nota :</w:t>
      </w:r>
      <w:r>
        <w:t xml:space="preserve"> </w:t>
      </w:r>
      <w:r>
        <w:rPr>
          <w:i/>
        </w:rPr>
        <w:t xml:space="preserve">Personnels en place : ayant servi au moins deux années consécutives pendant la période.</w:t>
      </w:r>
      <w:r>
        <w:br w:type="textWrapping"/>
      </w:r>
      <w:r>
        <w:rPr>
          <w:i/>
        </w:rPr>
        <w:t xml:space="preserve">Plus/moins de deux ans : plus/mois de 730 jours sur la période sous revue.</w:t>
      </w:r>
    </w:p>
    <w:bookmarkStart w:id="32" w:name="remunerations-brutes-analyse-pour-lexercice-2010"/>
    <w:p>
      <w:pPr>
        <w:pStyle w:val="Heading1"/>
      </w:pPr>
      <w:r>
        <w:t xml:space="preserve">2. Rémunérations brutes : analyse pour l'exercice 2010</w:t>
      </w:r>
    </w:p>
    <w:bookmarkEnd w:id="32"/>
    <w:bookmarkStart w:id="33" w:name="masse-salariale-brute-de-lensemble-des-agents"/>
    <w:p>
      <w:pPr>
        <w:pStyle w:val="Heading2"/>
      </w:pPr>
      <w:r>
        <w:t xml:space="preserve">2.1 Masse salariale brute de l'ensemble des agents</w:t>
      </w:r>
    </w:p>
    <w:bookmarkEnd w:id="33"/>
    <w:bookmarkStart w:id="34" w:name="cumuls-des-remunerations-brutes-pour-lexercice-2010"/>
    <w:p>
      <w:pPr>
        <w:pStyle w:val="Heading3"/>
      </w:pPr>
      <w:r>
        <w:t xml:space="preserve">Cumuls des rémunérations brutes pour l'exercice 2010</w:t>
      </w:r>
    </w:p>
    <w:bookmarkEnd w:id="34"/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10 767 405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10 622 631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1 511 855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29 636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rPr>
          <w:i/>
        </w:rPr>
        <w:t xml:space="preserve">Elus</w:t>
      </w:r>
    </w:p>
    <w:p>
      <w:r>
        <w:t xml:space="preserve"> </w:t>
      </w:r>
      <w:r>
        <w:rPr>
          <w:i/>
        </w:rPr>
        <w:t xml:space="preserve">Tableau 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204 873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204 873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10 767 405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10 622 631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144 774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(élus) :</w:t>
      </w:r>
    </w:p>
    <w:p>
      <w:r>
        <w:t xml:space="preserve"> </w:t>
      </w:r>
      <w:r>
        <w:rPr>
          <w:i/>
        </w:rPr>
        <w:t xml:space="preserve">Tableau 11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204 873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204 873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Les résultats sont exprimés en euros.</w:t>
      </w:r>
    </w:p>
    <w:bookmarkStart w:id="35" w:name="masse-salariale-brute-des-fonctionnaires"/>
    <w:p>
      <w:pPr>
        <w:pStyle w:val="Heading2"/>
      </w:pPr>
      <w:r>
        <w:t xml:space="preserve">2.2 Masse salariale brute des fonctionnaires</w:t>
      </w:r>
    </w:p>
    <w:bookmarkEnd w:id="35"/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429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12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9 387 226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9 353 684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1 432 756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26 709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9 387 226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9 353 684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33 541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2010</w:t>
      </w:r>
    </w:p>
    <w:p>
      <w:r>
        <w:t xml:space="preserve"> </w:t>
      </w:r>
      <w:r>
        <w:rPr>
          <w:i/>
        </w:rPr>
        <w:t xml:space="preserve">Tableau 14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5 323</w:t>
            </w:r>
          </w:p>
        </w:tc>
        <w:tc>
          <w:p>
            <w:pPr>
              <w:pStyle w:val="Compact"/>
              <w:jc w:val="right"/>
            </w:pPr>
            <w:r>
              <w:t xml:space="preserve">500,6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16 397</w:t>
            </w:r>
          </w:p>
        </w:tc>
        <w:tc>
          <w:p>
            <w:pPr>
              <w:pStyle w:val="Compact"/>
              <w:jc w:val="right"/>
            </w:pPr>
            <w:r>
              <w:t xml:space="preserve">2 026,7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17 709</w:t>
            </w:r>
          </w:p>
        </w:tc>
        <w:tc>
          <w:p>
            <w:pPr>
              <w:pStyle w:val="Compact"/>
              <w:jc w:val="right"/>
            </w:pPr>
            <w:r>
              <w:t xml:space="preserve">2 879,2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19 190</w:t>
            </w:r>
          </w:p>
        </w:tc>
        <w:tc>
          <w:p>
            <w:pPr>
              <w:pStyle w:val="Compact"/>
              <w:jc w:val="right"/>
            </w:pPr>
            <w:r>
              <w:t xml:space="preserve">3 470,7</w:t>
            </w:r>
          </w:p>
        </w:tc>
        <w:tc>
          <w:p>
            <w:pPr>
              <w:pStyle w:val="Compact"/>
              <w:jc w:val="right"/>
            </w:pPr>
            <w:r>
              <w:t xml:space="preserve">64,41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21 492</w:t>
            </w:r>
          </w:p>
        </w:tc>
        <w:tc>
          <w:p>
            <w:pPr>
              <w:pStyle w:val="Compact"/>
              <w:jc w:val="right"/>
            </w:pPr>
            <w:r>
              <w:t xml:space="preserve">4 235,6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53 375</w:t>
            </w:r>
          </w:p>
        </w:tc>
        <w:tc>
          <w:p>
            <w:pPr>
              <w:pStyle w:val="Compact"/>
              <w:jc w:val="right"/>
            </w:pPr>
            <w:r>
              <w:t xml:space="preserve">24 971,5</w:t>
            </w:r>
          </w:p>
        </w:tc>
        <w:tc>
          <w:p>
            <w:pPr>
              <w:pStyle w:val="Compact"/>
              <w:jc w:val="right"/>
            </w:pPr>
            <w:r>
              <w:t xml:space="preserve">1 879,18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15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5 824</w:t>
            </w:r>
          </w:p>
        </w:tc>
        <w:tc>
          <w:p>
            <w:pPr>
              <w:pStyle w:val="Compact"/>
              <w:jc w:val="right"/>
            </w:pPr>
            <w:r>
              <w:t xml:space="preserve">5 791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4,72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18 820</w:t>
            </w:r>
          </w:p>
        </w:tc>
        <w:tc>
          <w:p>
            <w:pPr>
              <w:pStyle w:val="Compact"/>
              <w:jc w:val="right"/>
            </w:pPr>
            <w:r>
              <w:t xml:space="preserve">18 726</w:t>
            </w:r>
          </w:p>
        </w:tc>
        <w:tc>
          <w:p>
            <w:pPr>
              <w:pStyle w:val="Compact"/>
              <w:jc w:val="right"/>
            </w:pPr>
            <w:r>
              <w:t xml:space="preserve">19 580</w:t>
            </w:r>
          </w:p>
        </w:tc>
        <w:tc>
          <w:p>
            <w:pPr>
              <w:pStyle w:val="Compact"/>
              <w:jc w:val="right"/>
            </w:pPr>
            <w:r>
              <w:t xml:space="preserve">10,45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20 763</w:t>
            </w:r>
          </w:p>
        </w:tc>
        <w:tc>
          <w:p>
            <w:pPr>
              <w:pStyle w:val="Compact"/>
              <w:jc w:val="right"/>
            </w:pPr>
            <w:r>
              <w:t xml:space="preserve">20 964</w:t>
            </w:r>
          </w:p>
        </w:tc>
        <w:tc>
          <w:p>
            <w:pPr>
              <w:pStyle w:val="Compact"/>
              <w:jc w:val="right"/>
            </w:pPr>
            <w:r>
              <w:t xml:space="preserve">21 848</w:t>
            </w:r>
          </w:p>
        </w:tc>
        <w:tc>
          <w:p>
            <w:pPr>
              <w:pStyle w:val="Compact"/>
              <w:jc w:val="right"/>
            </w:pPr>
            <w:r>
              <w:t xml:space="preserve">13,68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22 661</w:t>
            </w:r>
          </w:p>
        </w:tc>
        <w:tc>
          <w:p>
            <w:pPr>
              <w:pStyle w:val="Compact"/>
              <w:jc w:val="right"/>
            </w:pPr>
            <w:r>
              <w:t xml:space="preserve">22 731</w:t>
            </w:r>
          </w:p>
        </w:tc>
        <w:tc>
          <w:p>
            <w:pPr>
              <w:pStyle w:val="Compact"/>
              <w:jc w:val="right"/>
            </w:pPr>
            <w:r>
              <w:t xml:space="preserve">23 613</w:t>
            </w:r>
          </w:p>
        </w:tc>
        <w:tc>
          <w:p>
            <w:pPr>
              <w:pStyle w:val="Compact"/>
              <w:jc w:val="right"/>
            </w:pPr>
            <w:r>
              <w:t xml:space="preserve">14,56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24 928</w:t>
            </w:r>
          </w:p>
        </w:tc>
        <w:tc>
          <w:p>
            <w:pPr>
              <w:pStyle w:val="Compact"/>
              <w:jc w:val="right"/>
            </w:pPr>
            <w:r>
              <w:t xml:space="preserve">25 374</w:t>
            </w:r>
          </w:p>
        </w:tc>
        <w:tc>
          <w:p>
            <w:pPr>
              <w:pStyle w:val="Compact"/>
              <w:jc w:val="right"/>
            </w:pPr>
            <w:r>
              <w:t xml:space="preserve">25 887</w:t>
            </w:r>
          </w:p>
        </w:tc>
        <w:tc>
          <w:p>
            <w:pPr>
              <w:pStyle w:val="Compact"/>
              <w:jc w:val="right"/>
            </w:pPr>
            <w:r>
              <w:t xml:space="preserve">17,55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70 642</w:t>
            </w:r>
          </w:p>
        </w:tc>
        <w:tc>
          <w:p>
            <w:pPr>
              <w:pStyle w:val="Compact"/>
              <w:jc w:val="right"/>
            </w:pPr>
            <w:r>
              <w:t xml:space="preserve">70 976</w:t>
            </w:r>
          </w:p>
        </w:tc>
        <w:tc>
          <w:p>
            <w:pPr>
              <w:pStyle w:val="Compact"/>
              <w:jc w:val="right"/>
            </w:pPr>
            <w:r>
              <w:t xml:space="preserve">70 976</w:t>
            </w:r>
          </w:p>
        </w:tc>
        <w:tc>
          <w:p>
            <w:pPr>
              <w:pStyle w:val="Compact"/>
              <w:jc w:val="right"/>
            </w:pPr>
            <w:r>
              <w:t xml:space="preserve">38,97</w:t>
            </w:r>
          </w:p>
        </w:tc>
        <w:tc>
          <w:p/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bookmarkStart w:id="42" w:name="section"/>
    <w:p>
      <w:pPr>
        <w:pStyle w:val="Heading6"/>
      </w:pPr>
    </w:p>
    <w:bookmarkEnd w:id="42"/>
    <w:bookmarkStart w:id="43" w:name="contractuels-vacataires-et-stagiaires-inclus"/>
    <w:p>
      <w:pPr>
        <w:pStyle w:val="Heading2"/>
      </w:pPr>
      <w:r>
        <w:t xml:space="preserve">2.3 Contractuels, vacataires et stagiaires inclus</w:t>
      </w:r>
    </w:p>
    <w:bookmarkEnd w:id="43"/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1 000 k€. 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2010</w:t>
      </w:r>
    </w:p>
    <w:p>
      <w:r>
        <w:t xml:space="preserve"> </w:t>
      </w:r>
      <w:r>
        <w:rPr>
          <w:i/>
        </w:rPr>
        <w:t xml:space="preserve">Tableau 16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-146,3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314,3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914,3</w:t>
            </w:r>
          </w:p>
        </w:tc>
        <w:tc>
          <w:p>
            <w:pPr>
              <w:pStyle w:val="Compact"/>
              <w:jc w:val="right"/>
            </w:pPr>
            <w:r>
              <w:t xml:space="preserve">31,32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846,9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10 713,1</w:t>
            </w:r>
          </w:p>
        </w:tc>
        <w:tc>
          <w:p>
            <w:pPr>
              <w:pStyle w:val="Compact"/>
              <w:jc w:val="right"/>
            </w:pPr>
            <w:r>
              <w:t xml:space="preserve">404,00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17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3 914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6 833</w:t>
            </w:r>
          </w:p>
        </w:tc>
        <w:tc>
          <w:p>
            <w:pPr>
              <w:pStyle w:val="Compact"/>
              <w:jc w:val="right"/>
            </w:pPr>
            <w:r>
              <w:t xml:space="preserve">16 171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10 027</w:t>
            </w:r>
          </w:p>
        </w:tc>
        <w:tc>
          <w:p>
            <w:pPr>
              <w:pStyle w:val="Compact"/>
              <w:jc w:val="right"/>
            </w:pPr>
            <w:r>
              <w:t xml:space="preserve">17 749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13 578</w:t>
            </w:r>
          </w:p>
        </w:tc>
        <w:tc>
          <w:p>
            <w:pPr>
              <w:pStyle w:val="Compact"/>
              <w:jc w:val="right"/>
            </w:pPr>
            <w:r>
              <w:t xml:space="preserve">17 974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17 002</w:t>
            </w:r>
          </w:p>
        </w:tc>
        <w:tc>
          <w:p>
            <w:pPr>
              <w:pStyle w:val="Compact"/>
              <w:jc w:val="right"/>
            </w:pPr>
            <w:r>
              <w:t xml:space="preserve">19 368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52 800</w:t>
            </w:r>
          </w:p>
        </w:tc>
        <w:tc>
          <w:p>
            <w:pPr>
              <w:pStyle w:val="Compact"/>
              <w:jc w:val="right"/>
            </w:pPr>
            <w:r>
              <w:t xml:space="preserve">52 800</w:t>
            </w:r>
          </w:p>
        </w:tc>
        <w:tc>
          <w:p/>
        </w:tc>
      </w:tr>
    </w:tbl>
    <w:bookmarkStart w:id="46" w:name="remunerations-brutes-analyse-pour-lexercice-2013"/>
    <w:p>
      <w:pPr>
        <w:pStyle w:val="Heading1"/>
      </w:pPr>
      <w:r>
        <w:t xml:space="preserve">3. Rémunérations brutes : analyse pour l'exercice 2013</w:t>
      </w:r>
    </w:p>
    <w:bookmarkEnd w:id="46"/>
    <w:bookmarkStart w:id="47" w:name="masse-salariale-brute-de-lensemble-des-agents-1"/>
    <w:p>
      <w:pPr>
        <w:pStyle w:val="Heading2"/>
      </w:pPr>
      <w:r>
        <w:t xml:space="preserve">3.1 Masse salariale brute de l'ensemble des agents</w:t>
      </w:r>
    </w:p>
    <w:bookmarkEnd w:id="47"/>
    <w:bookmarkStart w:id="48" w:name="cumuls-des-remunerations-brutes-pour-lexercice-2013"/>
    <w:p>
      <w:pPr>
        <w:pStyle w:val="Heading3"/>
      </w:pPr>
      <w:r>
        <w:t xml:space="preserve">Cumuls des rémunérations brutes pour l'exercice 2013</w:t>
      </w:r>
    </w:p>
    <w:bookmarkEnd w:id="48"/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18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10 785 759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10 650 135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1 777 338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49 439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p>
      <w:r>
        <w:rPr>
          <w:i/>
        </w:rPr>
        <w:t xml:space="preserve">Elus</w:t>
      </w:r>
    </w:p>
    <w:p>
      <w:r>
        <w:t xml:space="preserve"> </w:t>
      </w:r>
      <w:r>
        <w:rPr>
          <w:i/>
        </w:rPr>
        <w:t xml:space="preserve">Tableau 19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192 309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192 309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10 785 759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10 650 135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135 624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(élus) :</w:t>
      </w:r>
    </w:p>
    <w:p>
      <w:r>
        <w:t xml:space="preserve"> </w:t>
      </w:r>
      <w:r>
        <w:rPr>
          <w:i/>
        </w:rPr>
        <w:t xml:space="preserve">Tableau 21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192 309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192 309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Les résultats sont exprimés en euros.</w:t>
      </w:r>
    </w:p>
    <w:bookmarkStart w:id="49" w:name="masse-salariale-brute-des-fonctionnaires-1"/>
    <w:p>
      <w:pPr>
        <w:pStyle w:val="Heading2"/>
      </w:pPr>
      <w:r>
        <w:t xml:space="preserve">3.2 Masse salariale brute des fonctionnaires</w:t>
      </w:r>
    </w:p>
    <w:bookmarkEnd w:id="49"/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411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22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9 511 343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9 434 253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1 659 351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46 491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9 511 343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9 434 253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77 090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24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2 880</w:t>
            </w:r>
          </w:p>
        </w:tc>
        <w:tc>
          <w:p>
            <w:pPr>
              <w:pStyle w:val="Compact"/>
              <w:jc w:val="right"/>
            </w:pPr>
            <w:r>
              <w:t xml:space="preserve">539,3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17 396</w:t>
            </w:r>
          </w:p>
        </w:tc>
        <w:tc>
          <w:p>
            <w:pPr>
              <w:pStyle w:val="Compact"/>
              <w:jc w:val="right"/>
            </w:pPr>
            <w:r>
              <w:t xml:space="preserve">3 022,0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18 410</w:t>
            </w:r>
          </w:p>
        </w:tc>
        <w:tc>
          <w:p>
            <w:pPr>
              <w:pStyle w:val="Compact"/>
              <w:jc w:val="right"/>
            </w:pPr>
            <w:r>
              <w:t xml:space="preserve">3 383,8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19 617</w:t>
            </w:r>
          </w:p>
        </w:tc>
        <w:tc>
          <w:p>
            <w:pPr>
              <w:pStyle w:val="Compact"/>
              <w:jc w:val="right"/>
            </w:pPr>
            <w:r>
              <w:t xml:space="preserve">4 188,1</w:t>
            </w:r>
          </w:p>
        </w:tc>
        <w:tc>
          <w:p>
            <w:pPr>
              <w:pStyle w:val="Compact"/>
              <w:jc w:val="right"/>
            </w:pPr>
            <w:r>
              <w:t xml:space="preserve">117,2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21 862</w:t>
            </w:r>
          </w:p>
        </w:tc>
        <w:tc>
          <w:p>
            <w:pPr>
              <w:pStyle w:val="Compact"/>
              <w:jc w:val="right"/>
            </w:pPr>
            <w:r>
              <w:t xml:space="preserve">4 913,7</w:t>
            </w:r>
          </w:p>
        </w:tc>
        <w:tc>
          <w:p>
            <w:pPr>
              <w:pStyle w:val="Compact"/>
              <w:jc w:val="right"/>
            </w:pPr>
            <w:r>
              <w:t xml:space="preserve">169,9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47 256</w:t>
            </w:r>
          </w:p>
        </w:tc>
        <w:tc>
          <w:p>
            <w:pPr>
              <w:pStyle w:val="Compact"/>
              <w:jc w:val="right"/>
            </w:pPr>
            <w:r>
              <w:t xml:space="preserve">25 307,4</w:t>
            </w:r>
          </w:p>
        </w:tc>
        <w:tc>
          <w:p>
            <w:pPr>
              <w:pStyle w:val="Compact"/>
              <w:jc w:val="right"/>
            </w:pPr>
            <w:r>
              <w:t xml:space="preserve">1 976,9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25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3 419</w:t>
            </w:r>
          </w:p>
        </w:tc>
        <w:tc>
          <w:p>
            <w:pPr>
              <w:pStyle w:val="Compact"/>
              <w:jc w:val="right"/>
            </w:pPr>
            <w:r>
              <w:t xml:space="preserve">3 774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9,463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20 606</w:t>
            </w:r>
          </w:p>
        </w:tc>
        <w:tc>
          <w:p>
            <w:pPr>
              <w:pStyle w:val="Compact"/>
              <w:jc w:val="right"/>
            </w:pPr>
            <w:r>
              <w:t xml:space="preserve">20 685</w:t>
            </w:r>
          </w:p>
        </w:tc>
        <w:tc>
          <w:p>
            <w:pPr>
              <w:pStyle w:val="Compact"/>
              <w:jc w:val="right"/>
            </w:pPr>
            <w:r>
              <w:t xml:space="preserve">21 378</w:t>
            </w:r>
          </w:p>
        </w:tc>
        <w:tc>
          <w:p>
            <w:pPr>
              <w:pStyle w:val="Compact"/>
              <w:jc w:val="right"/>
            </w:pPr>
            <w:r>
              <w:t xml:space="preserve">14,148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22 323</w:t>
            </w:r>
          </w:p>
        </w:tc>
        <w:tc>
          <w:p>
            <w:pPr>
              <w:pStyle w:val="Compact"/>
              <w:jc w:val="right"/>
            </w:pPr>
            <w:r>
              <w:t xml:space="preserve">22 583</w:t>
            </w:r>
          </w:p>
        </w:tc>
        <w:tc>
          <w:p>
            <w:pPr>
              <w:pStyle w:val="Compact"/>
              <w:jc w:val="right"/>
            </w:pPr>
            <w:r>
              <w:t xml:space="preserve">23 886</w:t>
            </w:r>
          </w:p>
        </w:tc>
        <w:tc>
          <w:p>
            <w:pPr>
              <w:pStyle w:val="Compact"/>
              <w:jc w:val="right"/>
            </w:pPr>
            <w:r>
              <w:t xml:space="preserve">15,668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23 805</w:t>
            </w:r>
          </w:p>
        </w:tc>
        <w:tc>
          <w:p>
            <w:pPr>
              <w:pStyle w:val="Compact"/>
              <w:jc w:val="right"/>
            </w:pPr>
            <w:r>
              <w:t xml:space="preserve">24 008</w:t>
            </w:r>
          </w:p>
        </w:tc>
        <w:tc>
          <w:p>
            <w:pPr>
              <w:pStyle w:val="Compact"/>
              <w:jc w:val="right"/>
            </w:pPr>
            <w:r>
              <w:t xml:space="preserve">25 511</w:t>
            </w:r>
          </w:p>
        </w:tc>
        <w:tc>
          <w:p>
            <w:pPr>
              <w:pStyle w:val="Compact"/>
              <w:jc w:val="right"/>
            </w:pPr>
            <w:r>
              <w:t xml:space="preserve">17,256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26 223</w:t>
            </w:r>
          </w:p>
        </w:tc>
        <w:tc>
          <w:p>
            <w:pPr>
              <w:pStyle w:val="Compact"/>
              <w:jc w:val="right"/>
            </w:pPr>
            <w:r>
              <w:t xml:space="preserve">26 851</w:t>
            </w:r>
          </w:p>
        </w:tc>
        <w:tc>
          <w:p>
            <w:pPr>
              <w:pStyle w:val="Compact"/>
              <w:jc w:val="right"/>
            </w:pPr>
            <w:r>
              <w:t xml:space="preserve">27 956</w:t>
            </w:r>
          </w:p>
        </w:tc>
        <w:tc>
          <w:p>
            <w:pPr>
              <w:pStyle w:val="Compact"/>
              <w:jc w:val="right"/>
            </w:pPr>
            <w:r>
              <w:t xml:space="preserve">19,668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70 925</w:t>
            </w:r>
          </w:p>
        </w:tc>
        <w:tc>
          <w:p>
            <w:pPr>
              <w:pStyle w:val="Compact"/>
              <w:jc w:val="right"/>
            </w:pPr>
            <w:r>
              <w:t xml:space="preserve">70 925</w:t>
            </w:r>
          </w:p>
        </w:tc>
        <w:tc>
          <w:p>
            <w:pPr>
              <w:pStyle w:val="Compact"/>
              <w:jc w:val="right"/>
            </w:pPr>
            <w:r>
              <w:t xml:space="preserve">70 925</w:t>
            </w:r>
          </w:p>
        </w:tc>
        <w:tc>
          <w:p>
            <w:pPr>
              <w:pStyle w:val="Compact"/>
              <w:jc w:val="right"/>
            </w:pPr>
            <w:r>
              <w:t xml:space="preserve">43,177</w:t>
            </w:r>
          </w:p>
        </w:tc>
        <w:tc>
          <w:p/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bookmarkStart w:id="56" w:name="section-1"/>
    <w:p>
      <w:pPr>
        <w:pStyle w:val="Heading6"/>
      </w:pPr>
    </w:p>
    <w:bookmarkEnd w:id="56"/>
    <w:bookmarkStart w:id="57" w:name="contractuels-vacataires-et-stagiaires-inclus-1"/>
    <w:p>
      <w:pPr>
        <w:pStyle w:val="Heading2"/>
      </w:pPr>
      <w:r>
        <w:t xml:space="preserve">3.3 Contractuels, vacataires et stagiaires inclus</w:t>
      </w:r>
    </w:p>
    <w:bookmarkEnd w:id="57"/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1 000 k€. 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26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-22,25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198,94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1 257,80</w:t>
            </w:r>
          </w:p>
        </w:tc>
        <w:tc>
          <w:p>
            <w:pPr>
              <w:pStyle w:val="Compact"/>
              <w:jc w:val="right"/>
            </w:pPr>
            <w:r>
              <w:t xml:space="preserve">32,75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835,84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17 494,04</w:t>
            </w:r>
          </w:p>
        </w:tc>
        <w:tc>
          <w:p>
            <w:pPr>
              <w:pStyle w:val="Compact"/>
              <w:jc w:val="right"/>
            </w:pPr>
            <w:r>
              <w:t xml:space="preserve">1 100,00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27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3 774</w:t>
            </w:r>
          </w:p>
        </w:tc>
        <w:tc>
          <w:p>
            <w:pPr>
              <w:pStyle w:val="Compact"/>
              <w:jc w:val="right"/>
            </w:pPr>
            <w:r>
              <w:t xml:space="preserve">4 478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6 306</w:t>
            </w:r>
          </w:p>
        </w:tc>
        <w:tc>
          <w:p>
            <w:pPr>
              <w:pStyle w:val="Compact"/>
              <w:jc w:val="right"/>
            </w:pPr>
            <w:r>
              <w:t xml:space="preserve">17 041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9 580</w:t>
            </w:r>
          </w:p>
        </w:tc>
        <w:tc>
          <w:p>
            <w:pPr>
              <w:pStyle w:val="Compact"/>
              <w:jc w:val="right"/>
            </w:pPr>
            <w:r>
              <w:t xml:space="preserve">18 949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11 969</w:t>
            </w:r>
          </w:p>
        </w:tc>
        <w:tc>
          <w:p>
            <w:pPr>
              <w:pStyle w:val="Compact"/>
              <w:jc w:val="right"/>
            </w:pPr>
            <w:r>
              <w:t xml:space="preserve">19 056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14 168</w:t>
            </w:r>
          </w:p>
        </w:tc>
        <w:tc>
          <w:p>
            <w:pPr>
              <w:pStyle w:val="Compact"/>
              <w:jc w:val="right"/>
            </w:pPr>
            <w:r>
              <w:t xml:space="preserve">20 340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/>
        </w:tc>
      </w:tr>
    </w:tbl>
    <w:bookmarkStart w:id="60" w:name="comparaisons-source-inseedgcl"/>
    <w:p>
      <w:pPr>
        <w:pStyle w:val="Heading2"/>
      </w:pPr>
      <w:r>
        <w:t xml:space="preserve">3.4 Comparaisons source INSEE/DGCL</w:t>
      </w:r>
    </w:p>
    <w:bookmarkEnd w:id="60"/>
    <w:p>
      <w:r>
        <w:rPr>
          <w:i/>
        </w:rPr>
        <w:t xml:space="preserve">Salaires annnuels moyens 2011 en EQTP (hors assistantes maternelles)</w:t>
      </w:r>
    </w:p>
    <w:p>
      <w:r>
        <w:t xml:space="preserve"> </w:t>
      </w:r>
      <w:r>
        <w:rPr>
          <w:i/>
        </w:rPr>
        <w:t xml:space="preserve">Tableau 28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bruts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bruts 2012 (€)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</w:t>
            </w:r>
          </w:p>
        </w:tc>
        <w:tc>
          <w:p>
            <w:pPr>
              <w:pStyle w:val="Compact"/>
              <w:jc w:val="center"/>
            </w:pPr>
            <w:r>
              <w:t xml:space="preserve">25 908</w:t>
            </w:r>
          </w:p>
        </w:tc>
        <w:tc>
          <w:p>
            <w:pPr>
              <w:pStyle w:val="Compact"/>
              <w:jc w:val="center"/>
            </w:pPr>
            <w:r>
              <w:t xml:space="preserve">26 340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Titulaires</w:t>
            </w:r>
          </w:p>
        </w:tc>
        <w:tc>
          <w:p>
            <w:pPr>
              <w:pStyle w:val="Compact"/>
              <w:jc w:val="center"/>
            </w:pPr>
            <w:r>
              <w:t xml:space="preserve">26 676</w:t>
            </w:r>
          </w:p>
        </w:tc>
        <w:tc>
          <w:p>
            <w:pPr>
              <w:pStyle w:val="Compact"/>
              <w:jc w:val="center"/>
            </w:pPr>
            <w:r>
              <w:t xml:space="preserve">27 108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salariés</w:t>
            </w:r>
          </w:p>
        </w:tc>
        <w:tc>
          <w:p>
            <w:pPr>
              <w:pStyle w:val="Compact"/>
              <w:jc w:val="center"/>
            </w:pPr>
            <w:r>
              <w:t xml:space="preserve">22 836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r>
        <w:rPr>
          <w:b/>
        </w:rPr>
        <w:t xml:space="preserve">Eléments de la rémunération brute pour les titulaires de la FPT entre 2010 et 2012</w:t>
      </w:r>
    </w:p>
    <w:p>
      <w:r>
        <w:t xml:space="preserve"> </w:t>
      </w:r>
      <w:r>
        <w:rPr>
          <w:i/>
        </w:rPr>
        <w:t xml:space="preserve">Tableau 29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annuelles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Salaire brut</w:t>
            </w:r>
          </w:p>
        </w:tc>
        <w:tc>
          <w:p>
            <w:pPr>
              <w:pStyle w:val="Compact"/>
              <w:jc w:val="center"/>
            </w:pPr>
            <w:r>
              <w:t xml:space="preserve">26305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26660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27108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Traitement brut</w:t>
            </w:r>
          </w:p>
        </w:tc>
        <w:tc>
          <w:p>
            <w:pPr>
              <w:pStyle w:val="Compact"/>
              <w:jc w:val="center"/>
            </w:pPr>
            <w:r>
              <w:t xml:space="preserve">20350</w:t>
            </w:r>
          </w:p>
        </w:tc>
        <w:tc>
          <w:p>
            <w:pPr>
              <w:pStyle w:val="Compact"/>
              <w:jc w:val="center"/>
            </w:pPr>
            <w:r>
              <w:t xml:space="preserve">22,6</w:t>
            </w:r>
          </w:p>
        </w:tc>
        <w:tc>
          <w:p>
            <w:pPr>
              <w:pStyle w:val="Compact"/>
              <w:jc w:val="center"/>
            </w:pPr>
            <w:r>
              <w:t xml:space="preserve">20562</w:t>
            </w:r>
          </w:p>
        </w:tc>
        <w:tc>
          <w:p>
            <w:pPr>
              <w:pStyle w:val="Compact"/>
              <w:jc w:val="center"/>
            </w:pPr>
            <w:r>
              <w:t xml:space="preserve">22,9</w:t>
            </w:r>
          </w:p>
        </w:tc>
        <w:tc>
          <w:p>
            <w:pPr>
              <w:pStyle w:val="Compact"/>
              <w:jc w:val="center"/>
            </w:pPr>
            <w:r>
              <w:t xml:space="preserve">20724</w:t>
            </w:r>
          </w:p>
        </w:tc>
        <w:tc>
          <w:p>
            <w:pPr>
              <w:pStyle w:val="Compact"/>
              <w:jc w:val="center"/>
            </w:pPr>
            <w:r>
              <w:t xml:space="preserve">23,6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Primes et rémunérations annexes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y compris IR et SFT</w:t>
            </w:r>
          </w:p>
        </w:tc>
        <w:tc>
          <w:p>
            <w:pPr>
              <w:pStyle w:val="Compact"/>
              <w:jc w:val="center"/>
            </w:pPr>
            <w:r>
              <w:t xml:space="preserve">5955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6098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6384</w:t>
            </w:r>
          </w:p>
        </w:tc>
        <w:tc>
          <w:p/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rPr>
          <w:i/>
        </w:rPr>
        <w:t xml:space="preserve">Les primes sont cumulées au supplément familial de traitement (SFT) et à l'indemnité de résidence (IR). Le cumul est rapporté à la rémunération brute totale.</w:t>
      </w:r>
      <w:r>
        <w:br w:type="textWrapping"/>
      </w:r>
      <w:hyperlink r:id="rId61">
        <w:r>
          <w:rPr>
            <w:rStyle w:val="Link"/>
          </w:rPr>
          <w:t xml:space="preserve">Source INSEE</w:t>
        </w:r>
      </w:hyperlink>
      <w:r>
        <w:br w:type="textWrapping"/>
      </w:r>
      <w:hyperlink r:id="rId62">
        <w:r>
          <w:rPr>
            <w:rStyle w:val="Link"/>
          </w:rPr>
          <w:t xml:space="preserve">Source DGCL</w:t>
        </w:r>
      </w:hyperlink>
      <w:r>
        <w:br w:type="textWrapping"/>
      </w:r>
      <w:hyperlink r:id="rId63">
        <w:r>
          <w:rPr>
            <w:rStyle w:val="Link"/>
          </w:rPr>
          <w:t xml:space="preserve">Source DGFIP PLF 2015</w:t>
        </w:r>
      </w:hyperlink>
    </w:p>
    <w:bookmarkStart w:id="64" w:name="remunerations-nettes-evolutions-sur-la-periode-2010---2013"/>
    <w:p>
      <w:pPr>
        <w:pStyle w:val="Heading1"/>
      </w:pPr>
      <w:r>
        <w:t xml:space="preserve">4. Rémunérations nettes : évolutions sur la période 2010 - 2013</w:t>
      </w:r>
    </w:p>
    <w:bookmarkEnd w:id="64"/>
    <w:p>
      <w:r>
        <w:t xml:space="preserve">Nombre d'exercices: 4</w:t>
      </w:r>
    </w:p>
    <w:p>
      <w:r>
        <w:rPr>
          <w:b/>
        </w:rPr>
        <w:t xml:space="preserve">Les données présentées dans cette section sont toutes relatives à des rémunérations nettes en équivalent temps plein (EQTP)</w:t>
      </w:r>
      <w:r>
        <w:br w:type="textWrapping"/>
      </w:r>
      <w:r>
        <w:t xml:space="preserve">Les élus, les vacataires et les assistantes maternelles ont été retirés de la population étudiée</w:t>
      </w:r>
      <w:r>
        <w:br w:type="textWrapping"/>
      </w:r>
      <w:r>
        <w:t xml:space="preserve">Seuls sont considérés les postes actifs et non annexes</w:t>
      </w:r>
    </w:p>
    <w:p>
      <w:r>
        <w:rPr>
          <w:i/>
        </w:rPr>
        <w:t xml:space="preserve">Nota :</w:t>
      </w:r>
      <w:r>
        <w:br w:type="textWrapping"/>
      </w:r>
      <w:r>
        <w:rPr>
          <w:i/>
        </w:rPr>
        <w:t xml:space="preserve">EQTP = Equivalent temps plein = 12 . moyenne du ratio rémunération / quotité</w:t>
      </w:r>
    </w:p>
    <w:bookmarkStart w:id="65" w:name="distribution-de-la-remuneration-nette-moyenne-sur-la-periode"/>
    <w:p>
      <w:pPr>
        <w:pStyle w:val="Heading2"/>
      </w:pPr>
      <w:r>
        <w:t xml:space="preserve">4.1 Distribution de la rémunération nette moyenne sur la période</w:t>
      </w:r>
    </w:p>
    <w:bookmarkEnd w:id="65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415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68">
        <w:r>
          <w:rPr>
            <w:rStyle w:val="Link"/>
          </w:rPr>
          <w:t xml:space="preserve">Lien vers la base de données synthétique</w:t>
        </w:r>
      </w:hyperlink>
      <w:r>
        <w:t xml:space="preserve"> </w:t>
      </w:r>
      <w:hyperlink r:id="rId69">
        <w:r>
          <w:rPr>
            <w:rStyle w:val="Link"/>
          </w:rPr>
          <w:t xml:space="preserve">Lien vers la base de données détaillée par année</w:t>
        </w:r>
      </w:hyperlink>
    </w:p>
    <w:bookmarkStart w:id="70" w:name="evolutions-des-remunerations-nettes-sur-la-periode-2010---2013"/>
    <w:p>
      <w:pPr>
        <w:pStyle w:val="Heading2"/>
      </w:pPr>
      <w:r>
        <w:t xml:space="preserve">4.2 Evolutions des rémunérations nettes sur la période 2010 - 2013</w:t>
      </w:r>
    </w:p>
    <w:bookmarkEnd w:id="70"/>
    <w:bookmarkStart w:id="71" w:name="ensemble-des-personnels-fonctionnaires-et-non-titulaires-hors-elus"/>
    <w:p>
      <w:pPr>
        <w:pStyle w:val="Heading3"/>
      </w:pPr>
      <w:r>
        <w:t xml:space="preserve">4.2.1 Ensemble des personnels fonctionnaires et non titulaires (hors élus)</w:t>
      </w:r>
    </w:p>
    <w:bookmarkEnd w:id="71"/>
    <w:p>
      <w:r>
        <w:rPr>
          <w:b/>
        </w:rPr>
        <w:t xml:space="preserve">Salaire net moyen par tête (SMPT net) en EQTP, hors élus</w:t>
      </w:r>
    </w:p>
    <w:p>
      <w:r>
        <w:t xml:space="preserve"> </w:t>
      </w:r>
      <w:r>
        <w:rPr>
          <w:i/>
        </w:rPr>
        <w:t xml:space="preserve">Tableau 30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8 993,3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19 054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9 125,5</w:t>
            </w:r>
          </w:p>
        </w:tc>
        <w:tc>
          <w:p>
            <w:pPr>
              <w:pStyle w:val="Compact"/>
              <w:jc w:val="center"/>
            </w:pPr>
            <w:r>
              <w:t xml:space="preserve">6,36</w:t>
            </w:r>
          </w:p>
        </w:tc>
        <w:tc>
          <w:p>
            <w:pPr>
              <w:pStyle w:val="Compact"/>
              <w:jc w:val="center"/>
            </w:pPr>
            <w:r>
              <w:t xml:space="preserve">19 252</w:t>
            </w:r>
          </w:p>
        </w:tc>
        <w:tc>
          <w:p>
            <w:pPr>
              <w:pStyle w:val="Compact"/>
              <w:jc w:val="center"/>
            </w:pPr>
            <w:r>
              <w:t xml:space="preserve">5,02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9 301,9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19 707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9 565,5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20 011</w:t>
            </w:r>
          </w:p>
        </w:tc>
        <w:tc>
          <w:p/>
        </w:tc>
      </w:tr>
    </w:tbl>
    <w:p>
      <w:r>
        <w:rPr>
          <w:b/>
        </w:rPr>
        <w:t xml:space="preserve">Effet de noria sur salaires nets et taux de remplacements</w:t>
      </w:r>
    </w:p>
    <w:p>
      <w:r>
        <w:rPr>
          <w:b/>
        </w:rPr>
        <w:t xml:space="preserve">Effet de noria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différence entre la rémunération annuelle des entrants à l'année N et des sortants à l'année N-1</w:t>
      </w:r>
      <w:r>
        <w:t xml:space="preserve">.</w:t>
      </w:r>
      <w:r>
        <w:br w:type="textWrapping"/>
      </w:r>
      <w:r>
        <w:rPr>
          <w:i/>
        </w:rPr>
        <w:t xml:space="preserve">Usuellement calculée sur les rémunérations brutes, ici sur les rémunérations nettes EQTP</w:t>
      </w:r>
      <w:r>
        <w:br w:type="textWrapping"/>
      </w:r>
      <w:r>
        <w:rPr>
          <w:i/>
        </w:rPr>
        <w:t xml:space="preserve">afin d'apprécier l'impact de cet effet sur l'évolution des rémunérations nette moyennes calculée au tableau précédent.</w:t>
      </w:r>
    </w:p>
    <w:p>
      <w:r>
        <w:t xml:space="preserve"> </w:t>
      </w:r>
      <w:r>
        <w:rPr>
          <w:i/>
        </w:rPr>
        <w:t xml:space="preserve">Tableau 31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-44,333</w:t>
            </w:r>
          </w:p>
        </w:tc>
        <w:tc>
          <w:p>
            <w:pPr>
              <w:pStyle w:val="Compact"/>
              <w:jc w:val="center"/>
            </w:pPr>
            <w:r>
              <w:t xml:space="preserve">-0,0 084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-1 453,2</w:t>
            </w:r>
          </w:p>
        </w:tc>
        <w:tc>
          <w:p>
            <w:pPr>
              <w:pStyle w:val="Compact"/>
              <w:jc w:val="center"/>
            </w:pPr>
            <w:r>
              <w:t xml:space="preserve">-0,37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5,2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-3 862,2</w:t>
            </w:r>
          </w:p>
        </w:tc>
        <w:tc>
          <w:p>
            <w:pPr>
              <w:pStyle w:val="Compact"/>
              <w:jc w:val="center"/>
            </w:pPr>
            <w:r>
              <w:t xml:space="preserve">-0,725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3,9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4 515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15 680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17 420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19 050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55 660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4 794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16 980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18 620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54 530</w:t>
            </w:r>
          </w:p>
        </w:tc>
      </w:tr>
    </w:tbl>
    <w:p>
      <w:r>
        <w:rPr>
          <w:i/>
        </w:rPr>
        <w:t xml:space="preserve">Nota :</w:t>
      </w:r>
      <w:r>
        <w:t xml:space="preserve"> </w:t>
      </w:r>
      <w:r>
        <w:t xml:space="preserve">La population retenue est constituée des agents qui :</w:t>
      </w:r>
      <w:r>
        <w:br w:type="textWrapping"/>
      </w:r>
      <w:r>
        <w:t xml:space="preserve">  - ne font pas partie des 1 centiles extrêmaux</w:t>
      </w:r>
      <w:r>
        <w:br w:type="textWrapping"/>
      </w:r>
      <w:r>
        <w:t xml:space="preserve">  - sont au moins présents 0 jours la première et la dernière année d'activité</w:t>
      </w:r>
      <w:r>
        <w:br w:type="textWrapping"/>
      </w:r>
      <w:r>
        <w:t xml:space="preserve">Les élus, vacataires et assistantes maternelles sont retirés du périmètre.</w:t>
      </w:r>
      <w:r>
        <w:br w:type="textWrapping"/>
      </w:r>
      <w:r>
        <w:t xml:space="preserve">Seuls sont pris en compte les agents ayant connu au moins un mois actif et ayant eu, sur l'année, des rémunérations non annexes.</w:t>
      </w:r>
      <w:r>
        <w:br w:type="textWrapping"/>
      </w:r>
      <w:hyperlink r:id="rId72">
        <w:r>
          <w:rPr>
            <w:rStyle w:val="Link"/>
          </w:rPr>
          <w:t xml:space="preserve">Compléments méthodologiques</w:t>
        </w:r>
      </w:hyperlink>
    </w:p>
    <w:p>
      <w:r>
        <w:rPr>
          <w:b/>
        </w:rPr>
        <w:t xml:space="preserve">Comparaisons source INSEE/DGCL</w:t>
      </w:r>
    </w:p>
    <w:p>
      <w:r>
        <w:rPr>
          <w:b/>
        </w:rPr>
        <w:t xml:space="preserve">Salaires annuels moyens 2011 et 2012 en EQTP (hors assistantes maternelles)</w:t>
      </w:r>
    </w:p>
    <w:p>
      <w:r>
        <w:t xml:space="preserve"> </w:t>
      </w:r>
      <w:r>
        <w:rPr>
          <w:i/>
        </w:rPr>
        <w:t xml:space="preserve">Tableau 33</w:t>
      </w:r>
      <w:r>
        <w:t xml:space="preserve"> </w:t>
      </w:r>
      <w:r>
        <w:t xml:space="preserve">'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nets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nets 2012 (€)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</w:t>
            </w:r>
          </w:p>
        </w:tc>
        <w:tc>
          <w:p>
            <w:pPr>
              <w:pStyle w:val="Compact"/>
              <w:jc w:val="center"/>
            </w:pPr>
            <w:r>
              <w:t xml:space="preserve">21 876</w:t>
            </w:r>
          </w:p>
        </w:tc>
        <w:tc>
          <w:p>
            <w:pPr>
              <w:pStyle w:val="Compact"/>
              <w:jc w:val="center"/>
            </w:pPr>
            <w:r>
              <w:t xml:space="preserve">22 176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Titulaires</w:t>
            </w:r>
          </w:p>
        </w:tc>
        <w:tc>
          <w:p>
            <w:pPr>
              <w:pStyle w:val="Compact"/>
              <w:jc w:val="center"/>
            </w:pPr>
            <w:r>
              <w:t xml:space="preserve">22 632</w:t>
            </w:r>
          </w:p>
        </w:tc>
        <w:tc>
          <w:p>
            <w:pPr>
              <w:pStyle w:val="Compact"/>
              <w:jc w:val="center"/>
            </w:pPr>
            <w:r>
              <w:t xml:space="preserve">22 920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salariés</w:t>
            </w:r>
          </w:p>
        </w:tc>
        <w:tc>
          <w:p>
            <w:pPr>
              <w:pStyle w:val="Compact"/>
              <w:jc w:val="center"/>
            </w:pPr>
            <w:r>
              <w:t xml:space="preserve">18 864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</w:p>
    <w:p>
      <w:r>
        <w:rPr>
          <w:b/>
        </w:rPr>
        <w:t xml:space="preserve">Distribution des salaires nets annuels en EQTP dans la fonction publique par versant en 2011</w:t>
      </w:r>
    </w:p>
    <w:p>
      <w:r>
        <w:t xml:space="preserve"> </w:t>
      </w:r>
      <w:r>
        <w:rPr>
          <w:i/>
        </w:rPr>
        <w:t xml:space="preserve">Tableau 34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Secteur privé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D1</w:t>
            </w:r>
          </w:p>
        </w:tc>
        <w:tc>
          <w:p>
            <w:pPr>
              <w:pStyle w:val="Compact"/>
              <w:jc w:val="center"/>
            </w:pPr>
            <w:r>
              <w:t xml:space="preserve">17 496</w:t>
            </w:r>
          </w:p>
        </w:tc>
        <w:tc>
          <w:p>
            <w:pPr>
              <w:pStyle w:val="Compact"/>
              <w:jc w:val="center"/>
            </w:pPr>
            <w:r>
              <w:t xml:space="preserve">15 288</w:t>
            </w:r>
          </w:p>
        </w:tc>
        <w:tc>
          <w:p>
            <w:pPr>
              <w:pStyle w:val="Compact"/>
              <w:jc w:val="center"/>
            </w:pPr>
            <w:r>
              <w:t xml:space="preserve">16 584</w:t>
            </w:r>
          </w:p>
        </w:tc>
        <w:tc>
          <w:p>
            <w:pPr>
              <w:pStyle w:val="Compact"/>
              <w:jc w:val="center"/>
            </w:pPr>
            <w:r>
              <w:t xml:space="preserve">14 040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D2</w:t>
            </w:r>
          </w:p>
        </w:tc>
        <w:tc>
          <w:p>
            <w:pPr>
              <w:pStyle w:val="Compact"/>
              <w:jc w:val="center"/>
            </w:pPr>
            <w:r>
              <w:t xml:space="preserve">20 916</w:t>
            </w:r>
          </w:p>
        </w:tc>
        <w:tc>
          <w:p>
            <w:pPr>
              <w:pStyle w:val="Compact"/>
              <w:jc w:val="center"/>
            </w:pPr>
            <w:r>
              <w:t xml:space="preserve">16 512</w:t>
            </w:r>
          </w:p>
        </w:tc>
        <w:tc>
          <w:p>
            <w:pPr>
              <w:pStyle w:val="Compact"/>
              <w:jc w:val="center"/>
            </w:pPr>
            <w:r>
              <w:t xml:space="preserve">18 168</w:t>
            </w:r>
          </w:p>
        </w:tc>
        <w:tc>
          <w:p>
            <w:pPr>
              <w:pStyle w:val="Compact"/>
              <w:jc w:val="center"/>
            </w:pPr>
            <w:r>
              <w:t xml:space="preserve">15 660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D3</w:t>
            </w:r>
          </w:p>
        </w:tc>
        <w:tc>
          <w:p>
            <w:pPr>
              <w:pStyle w:val="Compact"/>
              <w:jc w:val="center"/>
            </w:pPr>
            <w:r>
              <w:t xml:space="preserve">23 052</w:t>
            </w:r>
          </w:p>
        </w:tc>
        <w:tc>
          <w:p>
            <w:pPr>
              <w:pStyle w:val="Compact"/>
              <w:jc w:val="center"/>
            </w:pPr>
            <w:r>
              <w:t xml:space="preserve">17 508</w:t>
            </w:r>
          </w:p>
        </w:tc>
        <w:tc>
          <w:p>
            <w:pPr>
              <w:pStyle w:val="Compact"/>
              <w:jc w:val="center"/>
            </w:pPr>
            <w:r>
              <w:t xml:space="preserve">19 620</w:t>
            </w:r>
          </w:p>
        </w:tc>
        <w:tc>
          <w:p>
            <w:pPr>
              <w:pStyle w:val="Compact"/>
              <w:jc w:val="center"/>
            </w:pPr>
            <w:r>
              <w:t xml:space="preserve">17 136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p>
            <w:pPr>
              <w:pStyle w:val="Compact"/>
              <w:jc w:val="center"/>
            </w:pPr>
            <w:r>
              <w:t xml:space="preserve">24 912</w:t>
            </w:r>
          </w:p>
        </w:tc>
        <w:tc>
          <w:p>
            <w:pPr>
              <w:pStyle w:val="Compact"/>
              <w:jc w:val="center"/>
            </w:pPr>
            <w:r>
              <w:t xml:space="preserve">18 480</w:t>
            </w:r>
          </w:p>
        </w:tc>
        <w:tc>
          <w:p>
            <w:pPr>
              <w:pStyle w:val="Compact"/>
              <w:jc w:val="center"/>
            </w:pPr>
            <w:r>
              <w:t xml:space="preserve">21 048</w:t>
            </w:r>
          </w:p>
        </w:tc>
        <w:tc>
          <w:p>
            <w:pPr>
              <w:pStyle w:val="Compact"/>
              <w:jc w:val="center"/>
            </w:pPr>
            <w:r>
              <w:t xml:space="preserve">18 708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p>
            <w:pPr>
              <w:pStyle w:val="Compact"/>
              <w:jc w:val="center"/>
            </w:pPr>
            <w:r>
              <w:t xml:space="preserve">26 832</w:t>
            </w:r>
          </w:p>
        </w:tc>
        <w:tc>
          <w:p>
            <w:pPr>
              <w:pStyle w:val="Compact"/>
              <w:jc w:val="center"/>
            </w:pPr>
            <w:r>
              <w:t xml:space="preserve">19 632</w:t>
            </w:r>
          </w:p>
        </w:tc>
        <w:tc>
          <w:p>
            <w:pPr>
              <w:pStyle w:val="Compact"/>
              <w:jc w:val="center"/>
            </w:pPr>
            <w:r>
              <w:t xml:space="preserve">22 596</w:t>
            </w:r>
          </w:p>
        </w:tc>
        <w:tc>
          <w:p>
            <w:pPr>
              <w:pStyle w:val="Compact"/>
              <w:jc w:val="center"/>
            </w:pPr>
            <w:r>
              <w:t xml:space="preserve">20 544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p>
            <w:pPr>
              <w:pStyle w:val="Compact"/>
              <w:jc w:val="center"/>
            </w:pPr>
            <w:r>
              <w:t xml:space="preserve">28 944</w:t>
            </w:r>
          </w:p>
        </w:tc>
        <w:tc>
          <w:p>
            <w:pPr>
              <w:pStyle w:val="Compact"/>
              <w:jc w:val="center"/>
            </w:pPr>
            <w:r>
              <w:t xml:space="preserve">21 012</w:t>
            </w:r>
          </w:p>
        </w:tc>
        <w:tc>
          <w:p>
            <w:pPr>
              <w:pStyle w:val="Compact"/>
              <w:jc w:val="center"/>
            </w:pPr>
            <w:r>
              <w:t xml:space="preserve">24 504</w:t>
            </w:r>
          </w:p>
        </w:tc>
        <w:tc>
          <w:p>
            <w:pPr>
              <w:pStyle w:val="Compact"/>
              <w:jc w:val="center"/>
            </w:pPr>
            <w:r>
              <w:t xml:space="preserve">22 824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D7</w:t>
            </w:r>
          </w:p>
        </w:tc>
        <w:tc>
          <w:p>
            <w:pPr>
              <w:pStyle w:val="Compact"/>
              <w:jc w:val="center"/>
            </w:pPr>
            <w:r>
              <w:t xml:space="preserve">31 632</w:t>
            </w:r>
          </w:p>
        </w:tc>
        <w:tc>
          <w:p>
            <w:pPr>
              <w:pStyle w:val="Compact"/>
              <w:jc w:val="center"/>
            </w:pPr>
            <w:r>
              <w:t xml:space="preserve">22 860</w:t>
            </w:r>
          </w:p>
        </w:tc>
        <w:tc>
          <w:p>
            <w:pPr>
              <w:pStyle w:val="Compact"/>
              <w:jc w:val="center"/>
            </w:pPr>
            <w:r>
              <w:t xml:space="preserve">27 216</w:t>
            </w:r>
          </w:p>
        </w:tc>
        <w:tc>
          <w:p>
            <w:pPr>
              <w:pStyle w:val="Compact"/>
              <w:jc w:val="center"/>
            </w:pPr>
            <w:r>
              <w:t xml:space="preserve">25 872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p>
            <w:pPr>
              <w:pStyle w:val="Compact"/>
              <w:jc w:val="center"/>
            </w:pPr>
            <w:r>
              <w:t xml:space="preserve">35 592</w:t>
            </w:r>
          </w:p>
        </w:tc>
        <w:tc>
          <w:p>
            <w:pPr>
              <w:pStyle w:val="Compact"/>
              <w:jc w:val="center"/>
            </w:pPr>
            <w:r>
              <w:t xml:space="preserve">25 596</w:t>
            </w:r>
          </w:p>
        </w:tc>
        <w:tc>
          <w:p>
            <w:pPr>
              <w:pStyle w:val="Compact"/>
              <w:jc w:val="center"/>
            </w:pPr>
            <w:r>
              <w:t xml:space="preserve">30 996</w:t>
            </w:r>
          </w:p>
        </w:tc>
        <w:tc>
          <w:p>
            <w:pPr>
              <w:pStyle w:val="Compact"/>
              <w:jc w:val="center"/>
            </w:pPr>
            <w:r>
              <w:t xml:space="preserve">30 828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D9</w:t>
            </w:r>
          </w:p>
        </w:tc>
        <w:tc>
          <w:p>
            <w:pPr>
              <w:pStyle w:val="Compact"/>
              <w:jc w:val="center"/>
            </w:pPr>
            <w:r>
              <w:t xml:space="preserve">42 456</w:t>
            </w:r>
          </w:p>
        </w:tc>
        <w:tc>
          <w:p>
            <w:pPr>
              <w:pStyle w:val="Compact"/>
              <w:jc w:val="center"/>
            </w:pPr>
            <w:r>
              <w:t xml:space="preserve">30 876</w:t>
            </w:r>
          </w:p>
        </w:tc>
        <w:tc>
          <w:p>
            <w:pPr>
              <w:pStyle w:val="Compact"/>
              <w:jc w:val="center"/>
            </w:pPr>
            <w:r>
              <w:t xml:space="preserve">37 812</w:t>
            </w:r>
          </w:p>
        </w:tc>
        <w:tc>
          <w:p>
            <w:pPr>
              <w:pStyle w:val="Compact"/>
              <w:jc w:val="center"/>
            </w:pPr>
            <w:r>
              <w:t xml:space="preserve">40 800</w:t>
            </w:r>
          </w:p>
        </w:tc>
      </w:tr>
    </w:tbl>
    <w:p>
      <w:r>
        <w:rPr>
          <w:b/>
        </w:rPr>
        <w:t xml:space="preserve">Distribution des salaires nets annuels en EQTP dans la fonction publique territoriale par catégorie en 2011</w:t>
      </w:r>
    </w:p>
    <w:p>
      <w:r>
        <w:t xml:space="preserve"> </w:t>
      </w:r>
      <w:r>
        <w:rPr>
          <w:i/>
        </w:rPr>
        <w:t xml:space="preserve">Tableau 35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Autres salariés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D1</w:t>
            </w:r>
          </w:p>
        </w:tc>
        <w:tc>
          <w:p>
            <w:pPr>
              <w:pStyle w:val="Compact"/>
              <w:jc w:val="center"/>
            </w:pPr>
            <w:r>
              <w:t xml:space="preserve">26 040</w:t>
            </w:r>
          </w:p>
        </w:tc>
        <w:tc>
          <w:p>
            <w:pPr>
              <w:pStyle w:val="Compact"/>
              <w:jc w:val="center"/>
            </w:pPr>
            <w:r>
              <w:t xml:space="preserve">20 580</w:t>
            </w:r>
          </w:p>
        </w:tc>
        <w:tc>
          <w:p>
            <w:pPr>
              <w:pStyle w:val="Compact"/>
              <w:jc w:val="center"/>
            </w:pPr>
            <w:r>
              <w:t xml:space="preserve">15 972</w:t>
            </w:r>
          </w:p>
        </w:tc>
        <w:tc>
          <w:p>
            <w:pPr>
              <w:pStyle w:val="Compact"/>
              <w:jc w:val="center"/>
            </w:pPr>
            <w:r>
              <w:t xml:space="preserve">13 620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D2</w:t>
            </w:r>
          </w:p>
        </w:tc>
        <w:tc>
          <w:p>
            <w:pPr>
              <w:pStyle w:val="Compact"/>
              <w:jc w:val="center"/>
            </w:pPr>
            <w:r>
              <w:t xml:space="preserve">28 992</w:t>
            </w:r>
          </w:p>
        </w:tc>
        <w:tc>
          <w:p>
            <w:pPr>
              <w:pStyle w:val="Compact"/>
              <w:jc w:val="center"/>
            </w:pPr>
            <w:r>
              <w:t xml:space="preserve">22 272</w:t>
            </w:r>
          </w:p>
        </w:tc>
        <w:tc>
          <w:p>
            <w:pPr>
              <w:pStyle w:val="Compact"/>
              <w:jc w:val="center"/>
            </w:pPr>
            <w:r>
              <w:t xml:space="preserve">16 896</w:t>
            </w:r>
          </w:p>
        </w:tc>
        <w:tc>
          <w:p>
            <w:pPr>
              <w:pStyle w:val="Compact"/>
              <w:jc w:val="center"/>
            </w:pPr>
            <w:r>
              <w:t xml:space="preserve">14 340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D3</w:t>
            </w:r>
          </w:p>
        </w:tc>
        <w:tc>
          <w:p>
            <w:pPr>
              <w:pStyle w:val="Compact"/>
              <w:jc w:val="center"/>
            </w:pPr>
            <w:r>
              <w:t xml:space="preserve">31 272</w:t>
            </w:r>
          </w:p>
        </w:tc>
        <w:tc>
          <w:p>
            <w:pPr>
              <w:pStyle w:val="Compact"/>
              <w:jc w:val="center"/>
            </w:pPr>
            <w:r>
              <w:t xml:space="preserve">23 652</w:t>
            </w:r>
          </w:p>
        </w:tc>
        <w:tc>
          <w:p>
            <w:pPr>
              <w:pStyle w:val="Compact"/>
              <w:jc w:val="center"/>
            </w:pPr>
            <w:r>
              <w:t xml:space="preserve">17 652</w:t>
            </w:r>
          </w:p>
        </w:tc>
        <w:tc>
          <w:p>
            <w:pPr>
              <w:pStyle w:val="Compact"/>
              <w:jc w:val="center"/>
            </w:pPr>
            <w:r>
              <w:t xml:space="preserve">15 024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p>
            <w:pPr>
              <w:pStyle w:val="Compact"/>
              <w:jc w:val="center"/>
            </w:pPr>
            <w:r>
              <w:t xml:space="preserve">33 468</w:t>
            </w:r>
          </w:p>
        </w:tc>
        <w:tc>
          <w:p>
            <w:pPr>
              <w:pStyle w:val="Compact"/>
              <w:jc w:val="center"/>
            </w:pPr>
            <w:r>
              <w:t xml:space="preserve">24 960</w:t>
            </w:r>
          </w:p>
        </w:tc>
        <w:tc>
          <w:p>
            <w:pPr>
              <w:pStyle w:val="Compact"/>
              <w:jc w:val="center"/>
            </w:pPr>
            <w:r>
              <w:t xml:space="preserve">18 360</w:t>
            </w:r>
          </w:p>
        </w:tc>
        <w:tc>
          <w:p>
            <w:pPr>
              <w:pStyle w:val="Compact"/>
              <w:jc w:val="center"/>
            </w:pPr>
            <w:r>
              <w:t xml:space="preserve">15 684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p>
            <w:pPr>
              <w:pStyle w:val="Compact"/>
              <w:jc w:val="center"/>
            </w:pPr>
            <w:r>
              <w:t xml:space="preserve">35 820</w:t>
            </w:r>
          </w:p>
        </w:tc>
        <w:tc>
          <w:p>
            <w:pPr>
              <w:pStyle w:val="Compact"/>
              <w:jc w:val="center"/>
            </w:pPr>
            <w:r>
              <w:t xml:space="preserve">26 244</w:t>
            </w:r>
          </w:p>
        </w:tc>
        <w:tc>
          <w:p>
            <w:pPr>
              <w:pStyle w:val="Compact"/>
              <w:jc w:val="center"/>
            </w:pPr>
            <w:r>
              <w:t xml:space="preserve">19 164</w:t>
            </w:r>
          </w:p>
        </w:tc>
        <w:tc>
          <w:p>
            <w:pPr>
              <w:pStyle w:val="Compact"/>
              <w:jc w:val="center"/>
            </w:pPr>
            <w:r>
              <w:t xml:space="preserve">16 368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p>
            <w:pPr>
              <w:pStyle w:val="Compact"/>
              <w:jc w:val="center"/>
            </w:pPr>
            <w:r>
              <w:t xml:space="preserve">38 664</w:t>
            </w:r>
          </w:p>
        </w:tc>
        <w:tc>
          <w:p>
            <w:pPr>
              <w:pStyle w:val="Compact"/>
              <w:jc w:val="center"/>
            </w:pPr>
            <w:r>
              <w:t xml:space="preserve">27 636</w:t>
            </w:r>
          </w:p>
        </w:tc>
        <w:tc>
          <w:p>
            <w:pPr>
              <w:pStyle w:val="Compact"/>
              <w:jc w:val="center"/>
            </w:pPr>
            <w:r>
              <w:t xml:space="preserve">20 100</w:t>
            </w:r>
          </w:p>
        </w:tc>
        <w:tc>
          <w:p>
            <w:pPr>
              <w:pStyle w:val="Compact"/>
              <w:jc w:val="center"/>
            </w:pPr>
            <w:r>
              <w:t xml:space="preserve">17 232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D7</w:t>
            </w:r>
          </w:p>
        </w:tc>
        <w:tc>
          <w:p>
            <w:pPr>
              <w:pStyle w:val="Compact"/>
              <w:jc w:val="center"/>
            </w:pPr>
            <w:r>
              <w:t xml:space="preserve">42 276</w:t>
            </w:r>
          </w:p>
        </w:tc>
        <w:tc>
          <w:p>
            <w:pPr>
              <w:pStyle w:val="Compact"/>
              <w:jc w:val="center"/>
            </w:pPr>
            <w:r>
              <w:t xml:space="preserve">29 160</w:t>
            </w:r>
          </w:p>
        </w:tc>
        <w:tc>
          <w:p>
            <w:pPr>
              <w:pStyle w:val="Compact"/>
              <w:jc w:val="center"/>
            </w:pPr>
            <w:r>
              <w:t xml:space="preserve">21 216</w:t>
            </w:r>
          </w:p>
        </w:tc>
        <w:tc>
          <w:p>
            <w:pPr>
              <w:pStyle w:val="Compact"/>
              <w:jc w:val="center"/>
            </w:pPr>
            <w:r>
              <w:t xml:space="preserve">18 480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p>
            <w:pPr>
              <w:pStyle w:val="Compact"/>
              <w:jc w:val="center"/>
            </w:pPr>
            <w:r>
              <w:t xml:space="preserve">47 124</w:t>
            </w:r>
          </w:p>
        </w:tc>
        <w:tc>
          <w:p>
            <w:pPr>
              <w:pStyle w:val="Compact"/>
              <w:jc w:val="center"/>
            </w:pPr>
            <w:r>
              <w:t xml:space="preserve">30 984</w:t>
            </w:r>
          </w:p>
        </w:tc>
        <w:tc>
          <w:p>
            <w:pPr>
              <w:pStyle w:val="Compact"/>
              <w:jc w:val="center"/>
            </w:pPr>
            <w:r>
              <w:t xml:space="preserve">22 680</w:t>
            </w:r>
          </w:p>
        </w:tc>
        <w:tc>
          <w:p>
            <w:pPr>
              <w:pStyle w:val="Compact"/>
              <w:jc w:val="center"/>
            </w:pPr>
            <w:r>
              <w:t xml:space="preserve">20 784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D9</w:t>
            </w:r>
          </w:p>
        </w:tc>
        <w:tc>
          <w:p>
            <w:pPr>
              <w:pStyle w:val="Compact"/>
              <w:jc w:val="center"/>
            </w:pPr>
            <w:r>
              <w:t xml:space="preserve">54 840</w:t>
            </w:r>
          </w:p>
        </w:tc>
        <w:tc>
          <w:p>
            <w:pPr>
              <w:pStyle w:val="Compact"/>
              <w:jc w:val="center"/>
            </w:pPr>
            <w:r>
              <w:t xml:space="preserve">33 804</w:t>
            </w:r>
          </w:p>
        </w:tc>
        <w:tc>
          <w:p>
            <w:pPr>
              <w:pStyle w:val="Compact"/>
              <w:jc w:val="center"/>
            </w:pPr>
            <w:r>
              <w:t xml:space="preserve">24 996</w:t>
            </w:r>
          </w:p>
        </w:tc>
        <w:tc>
          <w:p>
            <w:pPr>
              <w:pStyle w:val="Compact"/>
              <w:jc w:val="center"/>
            </w:pPr>
            <w:r>
              <w:t xml:space="preserve">26 916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21 876</w:t>
            </w:r>
          </w:p>
        </w:tc>
        <w:tc>
          <w:p>
            <w:pPr>
              <w:pStyle w:val="Compact"/>
              <w:jc w:val="center"/>
            </w:pPr>
            <w:r>
              <w:t xml:space="preserve">38 700</w:t>
            </w:r>
          </w:p>
        </w:tc>
        <w:tc>
          <w:p>
            <w:pPr>
              <w:pStyle w:val="Compact"/>
              <w:jc w:val="center"/>
            </w:pPr>
            <w:r>
              <w:t xml:space="preserve">26 928</w:t>
            </w:r>
          </w:p>
        </w:tc>
        <w:tc>
          <w:p>
            <w:pPr>
              <w:pStyle w:val="Compact"/>
              <w:jc w:val="center"/>
            </w:pPr>
            <w:r>
              <w:t xml:space="preserve">20 016</w:t>
            </w:r>
          </w:p>
        </w:tc>
      </w:tr>
    </w:tbl>
    <w:p>
      <w:hyperlink r:id="rId61">
        <w:r>
          <w:rPr>
            <w:rStyle w:val="Link"/>
          </w:rPr>
          <w:t xml:space="preserve">Source INSEE, onglets Figure3, F1web et F3web</w:t>
        </w:r>
      </w:hyperlink>
    </w:p>
    <w:p>
      <w:hyperlink r:id="rId68">
        <w:r>
          <w:rPr>
            <w:rStyle w:val="Link"/>
          </w:rPr>
          <w:t xml:space="preserve">Lien vers la base de données</w:t>
        </w:r>
      </w:hyperlink>
    </w:p>
    <w:bookmarkStart w:id="73" w:name="fonctionnaires"/>
    <w:p>
      <w:pPr>
        <w:pStyle w:val="Heading3"/>
      </w:pPr>
      <w:r>
        <w:t xml:space="preserve">4.2.2 Fonctionnaires</w:t>
      </w:r>
    </w:p>
    <w:bookmarkEnd w:id="73"/>
    <w:p>
      <w:r>
        <w:rPr>
          <w:b/>
        </w:rPr>
        <w:t xml:space="preserve">Titulaires et stagiaires</w:t>
      </w:r>
    </w:p>
    <w:p>
      <w:r>
        <w:rPr>
          <w:b/>
        </w:rPr>
        <w:t xml:space="preserve">Salaire net moyen par tête (SMPT net) en EQTP</w:t>
      </w:r>
      <w:r>
        <w:br w:type="textWrapping"/>
      </w:r>
      <w:r>
        <w:t xml:space="preserve"> </w:t>
      </w:r>
      <w:r>
        <w:rPr>
          <w:i/>
        </w:rPr>
        <w:t xml:space="preserve">Tableau 36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en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7 947,3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19 479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8 033,5</w:t>
            </w:r>
          </w:p>
        </w:tc>
        <w:tc>
          <w:p>
            <w:pPr>
              <w:pStyle w:val="Compact"/>
              <w:jc w:val="center"/>
            </w:pPr>
            <w:r>
              <w:t xml:space="preserve">2,95</w:t>
            </w:r>
          </w:p>
        </w:tc>
        <w:tc>
          <w:p>
            <w:pPr>
              <w:pStyle w:val="Compact"/>
              <w:jc w:val="center"/>
            </w:pPr>
            <w:r>
              <w:t xml:space="preserve">19 836</w:t>
            </w:r>
          </w:p>
        </w:tc>
        <w:tc>
          <w:p>
            <w:pPr>
              <w:pStyle w:val="Compact"/>
              <w:jc w:val="center"/>
            </w:pPr>
            <w:r>
              <w:t xml:space="preserve">6,88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8 255,4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20 334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8 181,9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20 819</w:t>
            </w:r>
          </w:p>
        </w:tc>
        <w:tc>
          <w:p/>
        </w:tc>
      </w:tr>
    </w:tbl>
    <w:p>
      <w:r>
        <w:rPr>
          <w:b/>
        </w:rPr>
        <w:t xml:space="preserve">Effet de noria sur salaires nets et taux de remplacements</w:t>
      </w:r>
    </w:p>
    <w:p>
      <w:r>
        <w:t xml:space="preserve"> </w:t>
      </w:r>
      <w:r>
        <w:rPr>
          <w:i/>
        </w:rPr>
        <w:t xml:space="preserve">Tableau 37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MSN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12 973</w:t>
            </w:r>
          </w:p>
        </w:tc>
        <w:tc>
          <w:p>
            <w:pPr>
              <w:pStyle w:val="Compact"/>
              <w:jc w:val="center"/>
            </w:pPr>
            <w:r>
              <w:t xml:space="preserve">0,823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4 365,2</w:t>
            </w:r>
          </w:p>
        </w:tc>
        <w:tc>
          <w:p>
            <w:pPr>
              <w:pStyle w:val="Compact"/>
              <w:jc w:val="center"/>
            </w:pPr>
            <w:r>
              <w:t xml:space="preserve">0,419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-15 720</w:t>
            </w:r>
          </w:p>
        </w:tc>
        <w:tc>
          <w:p>
            <w:pPr>
              <w:pStyle w:val="Compact"/>
              <w:jc w:val="center"/>
            </w:pPr>
            <w:r>
              <w:t xml:space="preserve">-0,426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0,6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4 743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17 980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19 480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55 660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8 883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17 480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19 420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22 730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54 530</w:t>
            </w:r>
          </w:p>
        </w:tc>
      </w:tr>
    </w:tbl>
    <w:p>
      <w:r>
        <w:rPr>
          <w:b/>
        </w:rPr>
        <w:t xml:space="preserve">Evolution du SMPT net des titulaires à temps complet</w:t>
      </w:r>
    </w:p>
    <w:p>
      <w:r>
        <w:t xml:space="preserve"> </w:t>
      </w:r>
      <w:r>
        <w:rPr>
          <w:i/>
        </w:rPr>
        <w:t xml:space="preserve">Tableau 39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6 076,4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19 988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5 934,6</w:t>
            </w:r>
          </w:p>
        </w:tc>
        <w:tc>
          <w:p>
            <w:pPr>
              <w:pStyle w:val="Compact"/>
              <w:jc w:val="center"/>
            </w:pPr>
            <w:r>
              <w:t xml:space="preserve">-4,87</w:t>
            </w:r>
          </w:p>
        </w:tc>
        <w:tc>
          <w:p>
            <w:pPr>
              <w:pStyle w:val="Compact"/>
              <w:jc w:val="center"/>
            </w:pPr>
            <w:r>
              <w:t xml:space="preserve">20 049</w:t>
            </w:r>
          </w:p>
        </w:tc>
        <w:tc>
          <w:p>
            <w:pPr>
              <w:pStyle w:val="Compact"/>
              <w:jc w:val="center"/>
            </w:pPr>
            <w:r>
              <w:t xml:space="preserve">3,65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5 356,5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20 290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5 780,4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20 718</w:t>
            </w:r>
          </w:p>
        </w:tc>
        <w:tc>
          <w:p/>
        </w:tc>
      </w:tr>
    </w:tbl>
    <w:p>
      <w:r>
        <w:rPr>
          <w:b/>
        </w:rPr>
        <w:t xml:space="preserve">Distribution et variation sur la période du salaire moyen net par tête (SMPT net) des titulaires à temps complet</w:t>
      </w:r>
    </w:p>
    <w:p>
      <w:r>
        <w:t xml:space="preserve"> </w:t>
      </w:r>
      <w:r>
        <w:rPr>
          <w:i/>
        </w:rPr>
        <w:t xml:space="preserve">Tableau 40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7 809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16 290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18 150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21 660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55 660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8 883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17 400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22 210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54 530</w:t>
            </w:r>
          </w:p>
        </w:tc>
      </w:tr>
    </w:tbl>
    <w:p>
      <w:hyperlink r:id="rId68">
        <w:r>
          <w:rPr>
            <w:rStyle w:val="Link"/>
          </w:rPr>
          <w:t xml:space="preserve">Lien vers la base de données</w:t>
        </w:r>
      </w:hyperlink>
    </w:p>
    <w:bookmarkStart w:id="74" w:name="glissement-viellesse-technicite-gvt"/>
    <w:p>
      <w:pPr>
        <w:pStyle w:val="Heading2"/>
      </w:pPr>
      <w:r>
        <w:t xml:space="preserve">4.3 Glissement viellesse-technicité (GVT)</w:t>
      </w:r>
    </w:p>
    <w:bookmarkEnd w:id="74"/>
    <w:bookmarkStart w:id="75" w:name="ensemble-des-personnels"/>
    <w:p>
      <w:pPr>
        <w:pStyle w:val="Heading3"/>
      </w:pPr>
      <w:r>
        <w:t xml:space="preserve">4.3.1 Ensemble des personnels</w:t>
      </w:r>
    </w:p>
    <w:bookmarkEnd w:id="75"/>
    <w:p>
      <w:r>
        <w:rPr>
          <w:i/>
        </w:rPr>
        <w:t xml:space="preserve">Cette section est consacrée à la rémunération moyenne des personnes en place (RMPP), définies comme présentes deux années consécutives avec la même quotité</w:t>
      </w:r>
      <w:r>
        <w:br w:type="textWrapping"/>
      </w:r>
      <w:r>
        <w:rPr>
          <w:i/>
        </w:rPr>
        <w:t xml:space="preserve">L'évolution de la RMPP permet d'étudier le glissement viellesse-technicité "positif", à effectifs constants sur deux années</w:t>
      </w:r>
      <w:r>
        <w:br w:type="textWrapping"/>
      </w:r>
      <w:r>
        <w:rPr>
          <w:i/>
        </w:rPr>
        <w:t xml:space="preserve">Le GVT positif est dû aux mesures statutaires et individuelles, à l'avancement et aux changements d'activité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7 534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19 931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7 354,9</w:t>
            </w:r>
          </w:p>
        </w:tc>
        <w:tc>
          <w:p>
            <w:pPr>
              <w:pStyle w:val="Compact"/>
              <w:jc w:val="center"/>
            </w:pPr>
            <w:r>
              <w:t xml:space="preserve">-0,93</w:t>
            </w:r>
          </w:p>
        </w:tc>
        <w:tc>
          <w:p>
            <w:pPr>
              <w:pStyle w:val="Compact"/>
              <w:jc w:val="center"/>
            </w:pPr>
            <w:r>
              <w:t xml:space="preserve">20 317</w:t>
            </w:r>
          </w:p>
        </w:tc>
        <w:tc>
          <w:p>
            <w:pPr>
              <w:pStyle w:val="Compact"/>
              <w:jc w:val="center"/>
            </w:pPr>
            <w:r>
              <w:t xml:space="preserve">4,31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7 463,9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20 791</w:t>
            </w:r>
          </w:p>
        </w:tc>
        <w:tc>
          <w:p/>
        </w:tc>
      </w:tr>
    </w:tbl>
    <w:p>
      <w:r>
        <w:rPr>
          <w:b/>
        </w:rPr>
        <w:t xml:space="preserve">Distribution et variation sur la période de la rémunération nette des personnes en place</w:t>
      </w:r>
    </w:p>
    <w:p>
      <w:r>
        <w:t xml:space="preserve"> </w:t>
      </w:r>
      <w:r>
        <w:rPr>
          <w:i/>
        </w:rPr>
        <w:t xml:space="preserve">Tableau 42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7 350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15 880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17 770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19 330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20 750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55 660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43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6 725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17 220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19 010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20 420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22 150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54 530</w:t>
            </w:r>
          </w:p>
        </w:tc>
        <w:tc>
          <w:p/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-44,498</w:t>
            </w:r>
          </w:p>
        </w:tc>
        <w:tc>
          <w:p>
            <w:pPr>
              <w:pStyle w:val="Compact"/>
              <w:jc w:val="right"/>
            </w:pPr>
            <w:r>
              <w:t xml:space="preserve">-17,819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5,041</w:t>
            </w:r>
          </w:p>
        </w:tc>
        <w:tc>
          <w:p>
            <w:pPr>
              <w:pStyle w:val="Compact"/>
              <w:jc w:val="right"/>
            </w:pPr>
            <w:r>
              <w:t xml:space="preserve">1,653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8,905</w:t>
            </w:r>
          </w:p>
        </w:tc>
        <w:tc>
          <w:p>
            <w:pPr>
              <w:pStyle w:val="Compact"/>
              <w:jc w:val="right"/>
            </w:pPr>
            <w:r>
              <w:t xml:space="preserve">2,884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9,331</w:t>
            </w:r>
          </w:p>
        </w:tc>
        <w:tc>
          <w:p>
            <w:pPr>
              <w:pStyle w:val="Compact"/>
              <w:jc w:val="right"/>
            </w:pPr>
            <w:r>
              <w:t xml:space="preserve">2,897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13,703</w:t>
            </w:r>
          </w:p>
        </w:tc>
        <w:tc>
          <w:p>
            <w:pPr>
              <w:pStyle w:val="Compact"/>
              <w:jc w:val="right"/>
            </w:pPr>
            <w:r>
              <w:t xml:space="preserve">4,374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66,065</w:t>
            </w:r>
          </w:p>
        </w:tc>
        <w:tc>
          <w:p>
            <w:pPr>
              <w:pStyle w:val="Compact"/>
              <w:jc w:val="right"/>
            </w:pPr>
            <w:r>
              <w:t xml:space="preserve">18,420</w:t>
            </w:r>
          </w:p>
        </w:tc>
        <w:tc>
          <w:p/>
        </w:tc>
      </w:tr>
    </w:tbl>
    <w:bookmarkStart w:id="77" w:name="titulaires-et-stagiaires"/>
    <w:p>
      <w:pPr>
        <w:pStyle w:val="Heading3"/>
      </w:pPr>
      <w:r>
        <w:t xml:space="preserve">4.3.2 Titulaires et stagiaires</w:t>
      </w:r>
    </w:p>
    <w:bookmarkEnd w:id="77"/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7 108,9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19 913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7 003,2</w:t>
            </w:r>
          </w:p>
        </w:tc>
        <w:tc>
          <w:p>
            <w:pPr>
              <w:pStyle w:val="Compact"/>
              <w:jc w:val="center"/>
            </w:pPr>
            <w:r>
              <w:t xml:space="preserve">-0,43</w:t>
            </w:r>
          </w:p>
        </w:tc>
        <w:tc>
          <w:p>
            <w:pPr>
              <w:pStyle w:val="Compact"/>
              <w:jc w:val="center"/>
            </w:pPr>
            <w:r>
              <w:t xml:space="preserve">20 418</w:t>
            </w:r>
          </w:p>
        </w:tc>
        <w:tc>
          <w:p>
            <w:pPr>
              <w:pStyle w:val="Compact"/>
              <w:jc w:val="center"/>
            </w:pPr>
            <w:r>
              <w:t xml:space="preserve">4,54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7 078,3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20 818</w:t>
            </w:r>
          </w:p>
        </w:tc>
        <w:tc>
          <w:p/>
        </w:tc>
      </w:tr>
    </w:tbl>
    <w:p>
      <w:r>
        <w:rPr>
          <w:b/>
        </w:rPr>
        <w:t xml:space="preserve">Distribution et variation sur la période de la rémunération nette des fonctionnaires en place</w:t>
      </w:r>
    </w:p>
    <w:p>
      <w:r>
        <w:t xml:space="preserve"> </w:t>
      </w:r>
      <w:r>
        <w:rPr>
          <w:i/>
        </w:rPr>
        <w:t xml:space="preserve">Tableau 46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7 809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16 100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17 980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19 500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21 020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55 660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47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4 743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17 340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19 350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20 810</w:t>
            </w:r>
          </w:p>
        </w:tc>
        <w:tc>
          <w:p>
            <w:pPr>
              <w:pStyle w:val="Compact"/>
              <w:jc w:val="right"/>
            </w:pPr>
            <w:r>
              <w:t xml:space="preserve">436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22 940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63 190</w:t>
            </w:r>
          </w:p>
        </w:tc>
        <w:tc>
          <w:p/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-44,498</w:t>
            </w:r>
          </w:p>
        </w:tc>
        <w:tc>
          <w:p>
            <w:pPr>
              <w:pStyle w:val="Compact"/>
              <w:jc w:val="right"/>
            </w:pPr>
            <w:r>
              <w:t xml:space="preserve">-17,819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5,180</w:t>
            </w:r>
          </w:p>
        </w:tc>
        <w:tc>
          <w:p>
            <w:pPr>
              <w:pStyle w:val="Compact"/>
              <w:jc w:val="right"/>
            </w:pPr>
            <w:r>
              <w:t xml:space="preserve">1,698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8,913</w:t>
            </w:r>
          </w:p>
        </w:tc>
        <w:tc>
          <w:p>
            <w:pPr>
              <w:pStyle w:val="Compact"/>
              <w:jc w:val="right"/>
            </w:pPr>
            <w:r>
              <w:t xml:space="preserve">2,887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9,324</w:t>
            </w:r>
          </w:p>
        </w:tc>
        <w:tc>
          <w:p>
            <w:pPr>
              <w:pStyle w:val="Compact"/>
              <w:jc w:val="right"/>
            </w:pPr>
            <w:r>
              <w:t xml:space="preserve">2,899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13,796</w:t>
            </w:r>
          </w:p>
        </w:tc>
        <w:tc>
          <w:p>
            <w:pPr>
              <w:pStyle w:val="Compact"/>
              <w:jc w:val="right"/>
            </w:pPr>
            <w:r>
              <w:t xml:space="preserve">4,402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66,065</w:t>
            </w:r>
          </w:p>
        </w:tc>
        <w:tc>
          <w:p>
            <w:pPr>
              <w:pStyle w:val="Compact"/>
              <w:jc w:val="right"/>
            </w:pPr>
            <w:r>
              <w:t xml:space="preserve">18,420</w:t>
            </w:r>
          </w:p>
        </w:tc>
        <w:tc>
          <w:p/>
        </w:tc>
      </w:tr>
    </w:tbl>
    <w:p>
      <w:hyperlink r:id="rId68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</w:t>
      </w:r>
      <w:r>
        <w:br w:type="textWrapping"/>
      </w:r>
      <w:r>
        <w:rPr>
          <w:i/>
        </w:rPr>
        <w:t xml:space="preserve">Personnes en place :</w:t>
      </w:r>
      <w:r>
        <w:t xml:space="preserve"> </w:t>
      </w:r>
      <w:r>
        <w:t xml:space="preserve">en fonction au moins deux années consécutives sur la période 2010 à 2013</w:t>
      </w:r>
      <w:r>
        <w:br w:type="textWrapping"/>
      </w:r>
      <w:r>
        <w:rPr>
          <w:i/>
        </w:rPr>
        <w:t xml:space="preserve">Variation sur la période d'activité :</w:t>
      </w:r>
      <w:r>
        <w:t xml:space="preserve"> </w:t>
      </w:r>
      <w:r>
        <w:t xml:space="preserve">entre l'arrivée et le départ de la personne</w:t>
      </w:r>
      <w:r>
        <w:br w:type="textWrapping"/>
      </w:r>
      <w:r>
        <w:rPr>
          <w:i/>
        </w:rPr>
        <w:t xml:space="preserve">Variation normalisée :</w:t>
      </w:r>
      <w:r>
        <w:t xml:space="preserve"> </w:t>
      </w:r>
      <w:r>
        <w:t xml:space="preserve">conforme à la définition INSEE (présente en début et en fin de période avec la même quotité)</w:t>
      </w:r>
    </w:p>
    <w:p>
      <w:r>
        <w:rPr>
          <w:b/>
        </w:rPr>
        <w:t xml:space="preserve">Commentaire</w:t>
      </w:r>
      <w:r>
        <w:br w:type="textWrapping"/>
      </w:r>
      <w:r>
        <w:t xml:space="preserve">Les différences éventuelles constatées entre l'évolution de la RMPP au tableau 46 sont dues soit à l'effet de noria soit à l'effet périmètre.</w:t>
      </w:r>
    </w:p>
    <w:p>
      <w:hyperlink r:id="rId68">
        <w:r>
          <w:rPr>
            <w:rStyle w:val="Link"/>
          </w:rPr>
          <w:t xml:space="preserve">Lien vers la base de données</w:t>
        </w:r>
      </w:hyperlink>
    </w:p>
    <w:bookmarkStart w:id="78" w:name="comparaisons-avec-la-situation-nationale-des-remunerations"/>
    <w:p>
      <w:pPr>
        <w:pStyle w:val="Heading3"/>
      </w:pPr>
      <w:r>
        <w:t xml:space="preserve">4.4 Comparaisons avec la situation nationale des rémunérations</w:t>
      </w:r>
    </w:p>
    <w:bookmarkEnd w:id="78"/>
    <w:p>
      <w:r>
        <w:rPr>
          <w:b/>
        </w:rPr>
        <w:t xml:space="preserve">Évolution en euros courants du SMPT et de la RMPP dans la FPT (en % et euros courants)</w:t>
      </w:r>
    </w:p>
    <w:p>
      <w:r>
        <w:t xml:space="preserve"> </w:t>
      </w:r>
      <w:r>
        <w:rPr>
          <w:i/>
        </w:rPr>
        <w:t xml:space="preserve">Tableau 49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2010-2011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2011-1012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Moy. 2008-2012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Médiane 2007-2011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SMPT brut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1,3</w:t>
            </w:r>
          </w:p>
        </w:tc>
        <w:tc>
          <w:p>
            <w:pPr>
              <w:pStyle w:val="Compact"/>
              <w:jc w:val="center"/>
            </w:pPr>
            <w:r>
              <w:t xml:space="preserve">1,5</w:t>
            </w:r>
          </w:p>
        </w:tc>
        <w:tc>
          <w:p>
            <w:pPr>
              <w:pStyle w:val="Compact"/>
              <w:jc w:val="center"/>
            </w:pPr>
            <w:r>
              <w:t xml:space="preserve">1,7</w:t>
            </w:r>
          </w:p>
        </w:tc>
        <w:tc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SMPT net</w:t>
            </w:r>
          </w:p>
        </w:tc>
        <w:tc>
          <w:p>
            <w:pPr>
              <w:pStyle w:val="Compact"/>
              <w:jc w:val="center"/>
            </w:pPr>
            <w:r>
              <w:t xml:space="preserve">3,0</w:t>
            </w:r>
          </w:p>
        </w:tc>
        <w:tc>
          <w:p>
            <w:pPr>
              <w:pStyle w:val="Compact"/>
              <w:jc w:val="center"/>
            </w:pPr>
            <w:r>
              <w:t xml:space="preserve">1,4</w:t>
            </w:r>
          </w:p>
        </w:tc>
        <w:tc>
          <w:p>
            <w:pPr>
              <w:pStyle w:val="Compact"/>
              <w:jc w:val="center"/>
            </w:pPr>
            <w:r>
              <w:t xml:space="preserve">1,3</w:t>
            </w:r>
          </w:p>
        </w:tc>
        <w:tc>
          <w:p>
            <w:pPr>
              <w:pStyle w:val="Compact"/>
              <w:jc w:val="center"/>
            </w:pPr>
            <w:r>
              <w:t xml:space="preserve">1,4</w:t>
            </w:r>
          </w:p>
        </w:tc>
        <w:tc>
          <w:p>
            <w:pPr>
              <w:pStyle w:val="Compact"/>
              <w:jc w:val="center"/>
            </w:pPr>
            <w:r>
              <w:t xml:space="preserve">7,3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p>
            <w:pPr>
              <w:pStyle w:val="Compact"/>
              <w:jc w:val="center"/>
            </w:pPr>
            <w:r>
              <w:t xml:space="preserve">13,4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RMPP brute</w:t>
            </w:r>
          </w:p>
        </w:tc>
        <w:tc>
          <w:p>
            <w:pPr>
              <w:pStyle w:val="Compact"/>
              <w:jc w:val="center"/>
            </w:pPr>
            <w:r>
              <w:t xml:space="preserve">3,3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p>
            <w:pPr>
              <w:pStyle w:val="Compact"/>
              <w:jc w:val="center"/>
            </w:pPr>
            <w:r>
              <w:t xml:space="preserve">11,5</w:t>
            </w:r>
          </w:p>
        </w:tc>
        <w:tc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RMPP nette</w:t>
            </w:r>
          </w:p>
        </w:tc>
        <w:tc>
          <w:p>
            <w:pPr>
              <w:pStyle w:val="Compact"/>
              <w:jc w:val="center"/>
            </w:pPr>
            <w:r>
              <w:t xml:space="preserve">3,3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2,3</w:t>
            </w:r>
          </w:p>
        </w:tc>
        <w:tc>
          <w:p>
            <w:pPr>
              <w:pStyle w:val="Compact"/>
              <w:jc w:val="center"/>
            </w:pPr>
            <w:r>
              <w:t xml:space="preserve">2,4</w:t>
            </w:r>
          </w:p>
        </w:tc>
        <w:tc>
          <w:p>
            <w:pPr>
              <w:pStyle w:val="Compact"/>
              <w:jc w:val="center"/>
            </w:pPr>
            <w:r>
              <w:t xml:space="preserve">10,9</w:t>
            </w:r>
          </w:p>
        </w:tc>
        <w:tc>
          <w:p>
            <w:pPr>
              <w:pStyle w:val="Compact"/>
              <w:jc w:val="center"/>
            </w:pPr>
            <w:r>
              <w:t xml:space="preserve">2,6</w:t>
            </w:r>
          </w:p>
        </w:tc>
        <w:tc>
          <w:p/>
        </w:tc>
      </w:tr>
    </w:tbl>
    <w:p>
      <w:r>
        <w:rPr>
          <w:i/>
        </w:rPr>
        <w:t xml:space="preserve">Source : fichier général de l'État (FGE), DADS, SIASP, Insee, Drees. Traitement Insee, Drees, DGCL</w:t>
      </w:r>
      <w:r>
        <w:br w:type="textWrapping"/>
      </w:r>
      <w:r>
        <w:t xml:space="preserve">Hors assistants maternels et familiaux, y compris bénéficiaires de contrats aidés.</w:t>
      </w:r>
      <w:r>
        <w:br w:type="textWrapping"/>
      </w:r>
      <w:r>
        <w:t xml:space="preserve">SMPT : Salaire moyen par tête en EQTP.</w:t>
      </w:r>
      <w:r>
        <w:br w:type="textWrapping"/>
      </w:r>
      <w:r>
        <w:t xml:space="preserve">RMPP : Agents présents 24 mois consécutifs chez le même employeur avec la même quotité de travail.</w:t>
      </w:r>
      <w:r>
        <w:br w:type="textWrapping"/>
      </w:r>
      <w:r>
        <w:t xml:space="preserve">Moyenne des variation géométriques annuelles pour les agents du champ.</w:t>
      </w:r>
      <w:r>
        <w:br w:type="textWrapping"/>
      </w:r>
      <w:r>
        <w:t xml:space="preserve">La dernière colonne présente la médiane des augmentations du SMPT net pour les agents présents en 2007 et 2011.</w:t>
      </w:r>
    </w:p>
    <w:p>
      <w:r>
        <w:rPr>
          <w:b/>
        </w:rPr>
        <w:t xml:space="preserve">Salaires nets annuels et évolution moyenne type de collectivité en € courants EQTP</w:t>
      </w:r>
    </w:p>
    <w:p>
      <w:r>
        <w:t xml:space="preserve"> </w:t>
      </w:r>
      <w:r>
        <w:rPr>
          <w:i/>
        </w:rPr>
        <w:t xml:space="preserve">Tableau 50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 de collectivité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Évolution annuelle moy. 2007-2011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Communes</w:t>
            </w:r>
          </w:p>
        </w:tc>
        <w:tc>
          <w:p>
            <w:pPr>
              <w:pStyle w:val="Compact"/>
              <w:jc w:val="center"/>
            </w:pPr>
            <w:r>
              <w:t xml:space="preserve">21 575</w:t>
            </w:r>
          </w:p>
        </w:tc>
        <w:tc>
          <w:p>
            <w:pPr>
              <w:pStyle w:val="Compact"/>
              <w:jc w:val="center"/>
            </w:pPr>
            <w:r>
              <w:t xml:space="preserve">21 120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CCAS et caisses des écoles</w:t>
            </w:r>
          </w:p>
        </w:tc>
        <w:tc>
          <w:p>
            <w:pPr>
              <w:pStyle w:val="Compact"/>
              <w:jc w:val="center"/>
            </w:pPr>
            <w:r>
              <w:t xml:space="preserve">20 326</w:t>
            </w:r>
          </w:p>
        </w:tc>
        <w:tc>
          <w:p>
            <w:pPr>
              <w:pStyle w:val="Compact"/>
              <w:jc w:val="center"/>
            </w:pPr>
            <w:r>
              <w:t xml:space="preserve">19 716</w:t>
            </w:r>
          </w:p>
        </w:tc>
        <w:tc>
          <w:p>
            <w:pPr>
              <w:pStyle w:val="Compact"/>
              <w:jc w:val="center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EPCI à fiscalité propre</w:t>
            </w:r>
          </w:p>
        </w:tc>
        <w:tc>
          <w:p>
            <w:pPr>
              <w:pStyle w:val="Compact"/>
              <w:jc w:val="center"/>
            </w:pPr>
            <w:r>
              <w:t xml:space="preserve">24 088</w:t>
            </w:r>
          </w:p>
        </w:tc>
        <w:tc>
          <w:p>
            <w:pPr>
              <w:pStyle w:val="Compact"/>
              <w:jc w:val="center"/>
            </w:pPr>
            <w:r>
              <w:t xml:space="preserve">23 088</w:t>
            </w:r>
          </w:p>
        </w:tc>
        <w:tc>
          <w:p>
            <w:pPr>
              <w:pStyle w:val="Compact"/>
              <w:jc w:val="center"/>
            </w:pPr>
            <w:r>
              <w:t xml:space="preserve">3,1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structures intercommunales</w:t>
            </w:r>
          </w:p>
        </w:tc>
        <w:tc>
          <w:p>
            <w:pPr>
              <w:pStyle w:val="Compact"/>
              <w:jc w:val="center"/>
            </w:pPr>
            <w:r>
              <w:t xml:space="preserve">22 686</w:t>
            </w:r>
          </w:p>
        </w:tc>
        <w:tc>
          <w:p>
            <w:pPr>
              <w:pStyle w:val="Compact"/>
              <w:jc w:val="center"/>
            </w:pPr>
            <w:r>
              <w:t xml:space="preserve">21 684</w:t>
            </w:r>
          </w:p>
        </w:tc>
        <w:tc>
          <w:p>
            <w:pPr>
              <w:pStyle w:val="Compact"/>
              <w:jc w:val="center"/>
            </w:pPr>
            <w:r>
              <w:t xml:space="preserve">3,0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Départements</w:t>
            </w:r>
          </w:p>
        </w:tc>
        <w:tc>
          <w:p>
            <w:pPr>
              <w:pStyle w:val="Compact"/>
              <w:jc w:val="center"/>
            </w:pPr>
            <w:r>
              <w:t xml:space="preserve">26 910</w:t>
            </w:r>
          </w:p>
        </w:tc>
        <w:tc>
          <w:p>
            <w:pPr>
              <w:pStyle w:val="Compact"/>
              <w:jc w:val="center"/>
            </w:pPr>
            <w:r>
              <w:t xml:space="preserve">24 744</w:t>
            </w:r>
          </w:p>
        </w:tc>
        <w:tc>
          <w:p>
            <w:pPr>
              <w:pStyle w:val="Compact"/>
              <w:jc w:val="center"/>
            </w:pPr>
            <w:r>
              <w:t xml:space="preserve">3,9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SDIS</w:t>
            </w:r>
          </w:p>
        </w:tc>
        <w:tc>
          <w:p>
            <w:pPr>
              <w:pStyle w:val="Compact"/>
              <w:jc w:val="center"/>
            </w:pPr>
            <w:r>
              <w:t xml:space="preserve">30 548</w:t>
            </w:r>
          </w:p>
        </w:tc>
        <w:tc>
          <w:p>
            <w:pPr>
              <w:pStyle w:val="Compact"/>
              <w:jc w:val="center"/>
            </w:pPr>
            <w:r>
              <w:t xml:space="preserve">29 940</w:t>
            </w:r>
          </w:p>
        </w:tc>
        <w:tc>
          <w:p>
            <w:pPr>
              <w:pStyle w:val="Compact"/>
              <w:jc w:val="center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Régions</w:t>
            </w:r>
          </w:p>
        </w:tc>
        <w:tc>
          <w:p>
            <w:pPr>
              <w:pStyle w:val="Compact"/>
              <w:jc w:val="center"/>
            </w:pPr>
            <w:r>
              <w:t xml:space="preserve">24 137</w:t>
            </w:r>
          </w:p>
        </w:tc>
        <w:tc>
          <w:p>
            <w:pPr>
              <w:pStyle w:val="Compact"/>
              <w:jc w:val="center"/>
            </w:pPr>
            <w:r>
              <w:t xml:space="preserve">22 836</w:t>
            </w:r>
          </w:p>
        </w:tc>
        <w:tc>
          <w:p>
            <w:pPr>
              <w:pStyle w:val="Compact"/>
              <w:jc w:val="center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collectivités locales</w:t>
            </w:r>
          </w:p>
        </w:tc>
        <w:tc>
          <w:p>
            <w:pPr>
              <w:pStyle w:val="Compact"/>
              <w:jc w:val="center"/>
            </w:pPr>
            <w:r>
              <w:t xml:space="preserve">26 242</w:t>
            </w:r>
          </w:p>
        </w:tc>
        <w:tc>
          <w:p>
            <w:pPr>
              <w:pStyle w:val="Compact"/>
              <w:jc w:val="center"/>
            </w:pPr>
            <w:r>
              <w:t xml:space="preserve">24 696</w:t>
            </w:r>
          </w:p>
        </w:tc>
        <w:tc>
          <w:p>
            <w:pPr>
              <w:pStyle w:val="Compact"/>
              <w:jc w:val="center"/>
            </w:pPr>
            <w:r>
              <w:t xml:space="preserve">3,2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 (moyenne)</w:t>
            </w:r>
          </w:p>
        </w:tc>
        <w:tc>
          <w:p>
            <w:pPr>
              <w:pStyle w:val="Compact"/>
              <w:jc w:val="center"/>
            </w:pPr>
            <w:r>
              <w:t xml:space="preserve">22 954</w:t>
            </w:r>
          </w:p>
        </w:tc>
        <w:tc>
          <w:p>
            <w:pPr>
              <w:pStyle w:val="Compact"/>
              <w:jc w:val="center"/>
            </w:pPr>
            <w:r>
              <w:t xml:space="preserve">22 176</w:t>
            </w:r>
          </w:p>
        </w:tc>
        <w:tc>
          <w:p>
            <w:pPr>
              <w:pStyle w:val="Compact"/>
              <w:jc w:val="center"/>
            </w:pPr>
            <w:r>
              <w:t xml:space="preserve">2,9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 (médiane)</w:t>
            </w:r>
          </w:p>
        </w:tc>
        <w:tc>
          <w:p>
            <w:pPr>
              <w:pStyle w:val="Compact"/>
              <w:jc w:val="center"/>
            </w:pPr>
            <w:r>
              <w:t xml:space="preserve">19 626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/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t xml:space="preserve">Conversion en euros courants, calcul CRC.</w:t>
      </w:r>
      <w:r>
        <w:br w:type="textWrapping"/>
      </w:r>
      <w:hyperlink r:id="rId61">
        <w:r>
          <w:rPr>
            <w:rStyle w:val="Link"/>
          </w:rPr>
          <w:t xml:space="preserve">Source INSEE données 2011</w:t>
        </w:r>
      </w:hyperlink>
      <w:r>
        <w:br w:type="textWrapping"/>
      </w:r>
      <w:hyperlink r:id="rId79">
        <w:r>
          <w:rPr>
            <w:rStyle w:val="Link"/>
          </w:rPr>
          <w:t xml:space="preserve">Source DGAFP</w:t>
        </w:r>
      </w:hyperlink>
      <w:r>
        <w:br w:type="textWrapping"/>
      </w:r>
      <w:hyperlink r:id="rId63">
        <w:r>
          <w:rPr>
            <w:rStyle w:val="Link"/>
          </w:rPr>
          <w:t xml:space="preserve">Source PLF 2015 données 2012 p.130</w:t>
        </w:r>
      </w:hyperlink>
      <w:r>
        <w:br w:type="textWrapping"/>
      </w:r>
      <w:r>
        <w:rPr>
          <w:i/>
        </w:rPr>
        <w:t xml:space="preserve">Nota</w:t>
      </w:r>
      <w:r>
        <w:t xml:space="preserve"> </w:t>
      </w:r>
      <w:r>
        <w:t xml:space="preserve">Les évaluation du PLF 2015 ont apparemment fait l'objet d'un redressement par rapport à la publication INSEE précédente sur les données 2011.</w:t>
      </w:r>
    </w:p>
    <w:bookmarkStart w:id="80" w:name="tests-reglementaires"/>
    <w:p>
      <w:pPr>
        <w:pStyle w:val="Heading1"/>
      </w:pPr>
      <w:r>
        <w:t xml:space="preserve">5. Tests réglementaires</w:t>
      </w:r>
    </w:p>
    <w:bookmarkEnd w:id="80"/>
    <w:bookmarkStart w:id="81" w:name="controle-des-heures-supplementaires-des-nbi-et-primes-informatiques"/>
    <w:p>
      <w:pPr>
        <w:pStyle w:val="Heading2"/>
      </w:pPr>
      <w:r>
        <w:t xml:space="preserve">5.1 Contrôle des heures supplémentaires, des NBI et primes informatiques</w:t>
      </w:r>
    </w:p>
    <w:bookmarkEnd w:id="81"/>
    <w:p>
      <w:r>
        <w:rPr>
          <w:b/>
        </w:rPr>
        <w:t xml:space="preserve">Dans cette partie, l'ensemble de la base de paye est étudié.</w:t>
      </w:r>
      <w:r>
        <w:br w:type="textWrapping"/>
      </w:r>
      <w:r>
        <w:t xml:space="preserve">Les agents non actifs ou dont le poste est annexe sont réintroduits dans le périmètre.</w:t>
      </w:r>
    </w:p>
    <w:p>
      <w:r>
        <w:t xml:space="preserve">Il existe 1 non titulaire percevant une NBI.</w:t>
      </w:r>
    </w:p>
    <w:p>
      <w:r>
        <w:t xml:space="preserve">Primes informatiques potentielles : PRIME FONCTION INFORMATIQUE</w:t>
      </w:r>
    </w:p>
    <w:p>
      <w:r>
        <w:t xml:space="preserve"> </w:t>
      </w:r>
      <w:r>
        <w:rPr>
          <w:i/>
        </w:rPr>
        <w:t xml:space="preserve">Tableau 51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</w:tr>
    </w:tbl>
    <w:p>
      <w:hyperlink r:id="rId82">
        <w:r>
          <w:rPr>
            <w:rStyle w:val="Link"/>
          </w:rPr>
          <w:t xml:space="preserve">Lien vers la base de données NBI aux non titulaires</w:t>
        </w:r>
      </w:hyperlink>
      <w:r>
        <w:br w:type="textWrapping"/>
      </w:r>
      <w:hyperlink r:id="rId83">
        <w:r>
          <w:rPr>
            <w:rStyle w:val="Link"/>
          </w:rPr>
          <w:t xml:space="preserve">Lien vers la base de données Primes informatiques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bookmarkStart w:id="84" w:name="controle-des-vacations-pour-les-fonctionnaires"/>
    <w:p>
      <w:pPr>
        <w:pStyle w:val="Heading2"/>
      </w:pPr>
      <w:r>
        <w:t xml:space="preserve">5.2 Contrôle des vacations pour les fonctionnaires</w:t>
      </w:r>
    </w:p>
    <w:bookmarkEnd w:id="84"/>
    <w:p>
      <w:r>
        <w:t xml:space="preserve">Il y a 0 fonctionnaire(s) effectuant des vacations pour son propre établissement. Les bulletins concernés sont donnés en lien.</w:t>
      </w:r>
    </w:p>
    <w:p>
      <w:hyperlink r:id="rId85">
        <w:r>
          <w:rPr>
            <w:rStyle w:val="Link"/>
          </w:rPr>
          <w:t xml:space="preserve">Lien vers les matricules des fonctionnaires concernés</w:t>
        </w:r>
      </w:hyperlink>
      <w:r>
        <w:t xml:space="preserve"> </w:t>
      </w:r>
      <w:hyperlink r:id="rId86">
        <w:r>
          <w:rPr>
            <w:rStyle w:val="Link"/>
          </w:rPr>
          <w:t xml:space="preserve">Lien vers les bulletins de paye correspondants</w:t>
        </w:r>
      </w:hyperlink>
    </w:p>
    <w:bookmarkStart w:id="87" w:name="controles-sur-les-cumuls-traitement-indiciaire-indemnites-et-vacations-des-contractuels"/>
    <w:p>
      <w:pPr>
        <w:pStyle w:val="Heading2"/>
      </w:pPr>
      <w:r>
        <w:t xml:space="preserve">5.3 Contrôles sur les cumuls traitement indiciaire, indemnités et vacations des contractuels</w:t>
      </w:r>
    </w:p>
    <w:bookmarkEnd w:id="87"/>
    <w:p>
      <w:r>
        <w:rPr>
          <w:b/>
        </w:rPr>
        <w:t xml:space="preserve">Contractuels effectuant des vacations (CEV)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22 568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673</w:t>
            </w:r>
          </w:p>
        </w:tc>
      </w:tr>
    </w:tbl>
    <w:p>
      <w:hyperlink r:id="rId88">
        <w:r>
          <w:rPr>
            <w:rStyle w:val="Link"/>
          </w:rPr>
          <w:t xml:space="preserve">Lien vers le bulletins des CEV</w:t>
        </w:r>
      </w:hyperlink>
      <w:r>
        <w:br w:type="textWrapping"/>
      </w:r>
      <w:hyperlink r:id="rId89">
        <w:r>
          <w:rPr>
            <w:rStyle w:val="Link"/>
          </w:rPr>
          <w:t xml:space="preserve">Lien vers la base de données Matricules des CEV</w:t>
        </w:r>
      </w:hyperlink>
      <w:r>
        <w:br w:type="textWrapping"/>
      </w:r>
      <w:hyperlink r:id="rId90">
        <w:r>
          <w:rPr>
            <w:rStyle w:val="Link"/>
          </w:rPr>
          <w:t xml:space="preserve">Lien vers la base de données Cumul régime indemnitaire et vacations de CEV</w:t>
        </w:r>
      </w:hyperlink>
      <w:r>
        <w:br w:type="textWrapping"/>
      </w:r>
      <w:hyperlink r:id="rId91">
        <w:r>
          <w:rPr>
            <w:rStyle w:val="Link"/>
          </w:rPr>
          <w:t xml:space="preserve">Lien vers la base de données Lignes de traitement indiciaire pour CEV</w:t>
        </w:r>
      </w:hyperlink>
    </w:p>
    <w:bookmarkStart w:id="92" w:name="controle-sur-les-indemnites-iat-et-ifts"/>
    <w:p>
      <w:pPr>
        <w:pStyle w:val="Heading2"/>
      </w:pPr>
      <w:r>
        <w:t xml:space="preserve">5.4 Contrôle sur les indemnités IAT et IFTS</w:t>
      </w:r>
    </w:p>
    <w:bookmarkEnd w:id="92"/>
    <w:p>
      <w:r>
        <w:t xml:space="preserve"> </w:t>
      </w:r>
      <w:r>
        <w:rPr>
          <w:i/>
        </w:rPr>
        <w:t xml:space="preserve">Tableau 52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personnels percevant IAT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3046 3052 401A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  <w:p>
      <w:hyperlink r:id="rId93">
        <w:r>
          <w:rPr>
            <w:rStyle w:val="Link"/>
          </w:rPr>
          <w:t xml:space="preserve">Codes IFTS retenus</w:t>
        </w:r>
      </w:hyperlink>
      <w:r>
        <w:t xml:space="preserve"> </w:t>
      </w:r>
      <w:hyperlink r:id="rId94">
        <w:r>
          <w:rPr>
            <w:rStyle w:val="Link"/>
          </w:rPr>
          <w:t xml:space="preserve">Lien vers la base de données</w:t>
        </w:r>
      </w:hyperlink>
    </w:p>
    <w:bookmarkStart w:id="95" w:name="controle-sur-les-ifts-pour-categories-b-et-contractuels"/>
    <w:p>
      <w:pPr>
        <w:pStyle w:val="Heading3"/>
      </w:pPr>
      <w:r>
        <w:t xml:space="preserve">Contrôle sur les IFTS pour catégories B et contractuels</w:t>
      </w:r>
    </w:p>
    <w:bookmarkEnd w:id="95"/>
    <w:p>
      <w:r>
        <w:t xml:space="preserve"> </w:t>
      </w:r>
      <w:r>
        <w:rPr>
          <w:i/>
        </w:rPr>
        <w:t xml:space="preserve">Tableau 53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paye de contractuels percevant 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IFTS pour IB &lt; 380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96">
        <w:r>
          <w:rPr>
            <w:rStyle w:val="Link"/>
          </w:rPr>
          <w:t xml:space="preserve">Lien vers la base de données Lignes IFTS pour contractuels</w:t>
        </w:r>
      </w:hyperlink>
      <w:r>
        <w:t xml:space="preserve"> </w:t>
      </w:r>
      <w:hyperlink r:id="rId97">
        <w:r>
          <w:rPr>
            <w:rStyle w:val="Link"/>
          </w:rPr>
          <w:t xml:space="preserve">Lien vers la base de données Lignes IFTS pour IB &lt; 380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IB &lt; 380 : fonctionnaire percevant un indice brut inférieur à 380</w:t>
      </w:r>
    </w:p>
    <w:bookmarkStart w:id="98" w:name="section-2"/>
    <w:bookmarkEnd w:id="98"/>
    <w:bookmarkStart w:id="99" w:name="controle-sur-les-heures-supplementaires"/>
    <w:p>
      <w:pPr>
        <w:pStyle w:val="Heading2"/>
      </w:pPr>
      <w:r>
        <w:t xml:space="preserve">5.5 Contrôle sur les heures supplémentaires</w:t>
      </w:r>
    </w:p>
    <w:bookmarkEnd w:id="99"/>
    <w:p>
      <w:r>
        <w:t xml:space="preserve"> </w:t>
      </w:r>
      <w:r>
        <w:rPr>
          <w:i/>
        </w:rPr>
        <w:t xml:space="preserve">Tableau 54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1 662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hyperlink r:id="rId100">
        <w:r>
          <w:rPr>
            <w:rStyle w:val="Link"/>
          </w:rPr>
          <w:t xml:space="preserve">Lien vers la base de données Heures suplémentaires en excès : matricules</w:t>
        </w:r>
      </w:hyperlink>
      <w:r>
        <w:t xml:space="preserve"> </w:t>
      </w:r>
      <w:hyperlink r:id="rId101">
        <w:r>
          <w:rPr>
            <w:rStyle w:val="Link"/>
          </w:rPr>
          <w:t xml:space="preserve">Lien vers la base de données IHTS anormales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HS en excès : au-delà de 25 heures par mois IHTS anormales : non attribuées à des fonctionnaires de catégorie B ou C.</w:t>
      </w:r>
    </w:p>
    <w:bookmarkStart w:id="102" w:name="controle-sur-les-indemnites-des-elus"/>
    <w:p>
      <w:pPr>
        <w:pStyle w:val="Heading2"/>
      </w:pPr>
      <w:r>
        <w:t xml:space="preserve">5.6 Contrôle sur les indemnités des élus</w:t>
      </w:r>
    </w:p>
    <w:bookmarkEnd w:id="102"/>
    <w:p>
      <w:r>
        <w:t xml:space="preserve">Tableau des indemnités d'élu : non générée.</w:t>
      </w:r>
    </w:p>
    <w:p>
      <w:hyperlink r:id="rId103">
        <w:r>
          <w:rPr>
            <w:rStyle w:val="Link"/>
          </w:rPr>
          <w:t xml:space="preserve">Lien vers la base de données Rémunérations des élus</w:t>
        </w:r>
      </w:hyperlink>
    </w:p>
    <w:bookmarkStart w:id="104" w:name="annexe"/>
    <w:p>
      <w:pPr>
        <w:pStyle w:val="Heading1"/>
      </w:pPr>
      <w:r>
        <w:t xml:space="preserve">Annexe</w:t>
      </w:r>
    </w:p>
    <w:bookmarkEnd w:id="104"/>
    <w:bookmarkStart w:id="105" w:name="liens-complementaires"/>
    <w:p>
      <w:pPr>
        <w:pStyle w:val="Heading2"/>
      </w:pPr>
      <w:r>
        <w:t xml:space="preserve">Liens complémentaires</w:t>
      </w:r>
    </w:p>
    <w:bookmarkEnd w:id="105"/>
    <w:p>
      <w:hyperlink r:id="rId106">
        <w:r>
          <w:rPr>
            <w:rStyle w:val="Link"/>
          </w:rPr>
          <w:t xml:space="preserve">Lien vers la base de données des bulletins et lignes de paie</w:t>
        </w:r>
      </w:hyperlink>
      <w:r>
        <w:t xml:space="preserve"> </w:t>
      </w:r>
      <w:hyperlink r:id="rId107">
        <w:r>
          <w:rPr>
            <w:rStyle w:val="Link"/>
          </w:rPr>
          <w:t xml:space="preserve">Lien vers la base de données fusionnées des bulletins et lignes de paie</w:t>
        </w:r>
      </w:hyperlink>
    </w:p>
    <w:p>
      <w:hyperlink r:id="rId108">
        <w:r>
          <w:rPr>
            <w:rStyle w:val="Link"/>
          </w:rPr>
          <w:t xml:space="preserve">Lien vers le fichier des personnels</w:t>
        </w:r>
      </w:hyperlink>
    </w:p>
    <w:bookmarkStart w:id="109" w:name="fiabilite-du-traitement-statistique"/>
    <w:p>
      <w:pPr>
        <w:pStyle w:val="Heading2"/>
      </w:pPr>
      <w:r>
        <w:t xml:space="preserve">Fiabilité du traitement statistique</w:t>
      </w:r>
    </w:p>
    <w:bookmarkEnd w:id="109"/>
    <w:bookmarkStart w:id="110" w:name="eliminations-des-doublons"/>
    <w:p>
      <w:pPr>
        <w:pStyle w:val="Heading3"/>
      </w:pPr>
      <w:r>
        <w:t xml:space="preserve">Eliminations des doublons</w:t>
      </w:r>
    </w:p>
    <w:bookmarkEnd w:id="110"/>
    <w:p>
      <w:r>
        <w:t xml:space="preserve">Retraitement de la base :</w:t>
      </w:r>
    </w:p>
    <w:p>
      <w:r>
        <w:t xml:space="preserve">Elimination de 70643 lignes dupliquées</w:t>
      </w:r>
    </w:p>
    <w:p>
      <w:r>
        <w:t xml:space="preserve">Nombre de bulletins de paye de salaires (net ou brut) versés pour un champ Heures = 0 : 1340</w:t>
      </w:r>
    </w:p>
    <w:p>
      <w:r>
        <w:t xml:space="preserve">Nombre de bulletins de paye de salaires (net ou brut) versés pour une quotité de travail indéfinie : 1340</w:t>
      </w:r>
    </w:p>
    <w:p>
      <w:hyperlink r:id="rId111">
        <w:r>
          <w:rPr>
            <w:rStyle w:val="Link"/>
          </w:rPr>
          <w:t xml:space="preserve">Lien vers la base de données des salaires versés pour Heures=0</w:t>
        </w:r>
      </w:hyperlink>
      <w:r>
        <w:br w:type="textWrapping"/>
      </w:r>
      <w:hyperlink r:id="rId112">
        <w:r>
          <w:rPr>
            <w:rStyle w:val="Link"/>
          </w:rPr>
          <w:t xml:space="preserve">Lien vers la base de données des salaires versés à quotité indéfinie</w:t>
        </w:r>
      </w:hyperlink>
    </w:p>
    <w:bookmarkStart w:id="113" w:name="tableau-des-personnels-renseigner-la-categorie"/>
    <w:p>
      <w:pPr>
        <w:pStyle w:val="Heading1"/>
      </w:pPr>
      <w:r>
        <w:t xml:space="preserve">Tableau des personnels : renseigner la catégorie</w:t>
      </w:r>
    </w:p>
    <w:bookmarkEnd w:id="113"/>
    <w:p>
      <w:r>
        <w:t xml:space="preserve">Utiliser les codes : A, B, C, ELU, AUTRES</w:t>
      </w:r>
    </w:p>
    <w:p>
      <w:r>
        <w:t xml:space="preserve">En cas de changement de catégorie en cours de période, utiliser la catégorie AUTRES Cela peut conduire à modifier manuellement le fichier Catégories des personnels.csv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2ac29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hyperlink" Id="rId29" Target="Bases/Effectifs/Bulletins.paie.nir.fonctionnaires.csv" TargetMode="External" /><Relationship Type="http://schemas.openxmlformats.org/officeDocument/2006/relationships/hyperlink" Id="rId26" Target="Bases/Effectifs/Bulletins.paie.nir.total.hors.&#233;lus.csv" TargetMode="External" /><Relationship Type="http://schemas.openxmlformats.org/officeDocument/2006/relationships/hyperlink" Id="rId108" Target="Bases/Effectifs/Cat&#233;gories%20des%20personnels.csv" TargetMode="External" /><Relationship Type="http://schemas.openxmlformats.org/officeDocument/2006/relationships/hyperlink" Id="rId23" Target="Bases/Effectifs/tableau.effectifs.csv" TargetMode="External" /><Relationship Type="http://schemas.openxmlformats.org/officeDocument/2006/relationships/hyperlink" Id="rId111" Target="Bases/Fiabilit&#233;/base.heures.nulles.salaire.nonnull.csv" TargetMode="External" /><Relationship Type="http://schemas.openxmlformats.org/officeDocument/2006/relationships/hyperlink" Id="rId112" Target="Bases/Fiabilit&#233;/base.quotit&#233;.ind&#233;finie.salaire.nonnull.csv" TargetMode="External" /><Relationship Type="http://schemas.openxmlformats.org/officeDocument/2006/relationships/hyperlink" Id="rId106" Target="Bases/Paiements/Bulletins.paie.csv" TargetMode="External" /><Relationship Type="http://schemas.openxmlformats.org/officeDocument/2006/relationships/hyperlink" Id="rId107" Target="Bases/Paiements/Paie.csv" TargetMode="External" /><Relationship Type="http://schemas.openxmlformats.org/officeDocument/2006/relationships/hyperlink" Id="rId100" Target="Bases/R&#233;glementation/HS.sup.25.csv" TargetMode="External" /><Relationship Type="http://schemas.openxmlformats.org/officeDocument/2006/relationships/hyperlink" Id="rId82" Target="Bases/R&#233;glementation/NBI.aux.non.titulaires.csv" TargetMode="External" /><Relationship Type="http://schemas.openxmlformats.org/officeDocument/2006/relationships/hyperlink" Id="rId90" Target="Bases/R&#233;glementation/RI.et.vacations.csv" TargetMode="External" /><Relationship Type="http://schemas.openxmlformats.org/officeDocument/2006/relationships/hyperlink" Id="rId94" Target="Bases/R&#233;glementation/base.iat.ifts.csv" TargetMode="External" /><Relationship Type="http://schemas.openxmlformats.org/officeDocument/2006/relationships/hyperlink" Id="rId93" Target="Bases/R&#233;glementation/codes.ifts.csv" TargetMode="External" /><Relationship Type="http://schemas.openxmlformats.org/officeDocument/2006/relationships/hyperlink" Id="rId96" Target="Bases/R&#233;glementation/ifts.et.contractuel.csv" TargetMode="External" /><Relationship Type="http://schemas.openxmlformats.org/officeDocument/2006/relationships/hyperlink" Id="rId101" Target="Bases/R&#233;glementation/ihts.anormales.csv" TargetMode="External" /><Relationship Type="http://schemas.openxmlformats.org/officeDocument/2006/relationships/hyperlink" Id="rId88" Target="Bases/R&#233;glementation/lignes.contractuels.et.vacations.csv" TargetMode="External" /><Relationship Type="http://schemas.openxmlformats.org/officeDocument/2006/relationships/hyperlink" Id="rId86" Target="Bases/R&#233;glementation/lignes.fonctionnaires.et.vacations.csv" TargetMode="External" /><Relationship Type="http://schemas.openxmlformats.org/officeDocument/2006/relationships/hyperlink" Id="rId97" Target="Bases/R&#233;glementation/lignes.ifts.anormales.csv" TargetMode="External" /><Relationship Type="http://schemas.openxmlformats.org/officeDocument/2006/relationships/hyperlink" Id="rId89" Target="Bases/R&#233;glementation/matricules.contractuels.et.vacations.csv" TargetMode="External" /><Relationship Type="http://schemas.openxmlformats.org/officeDocument/2006/relationships/hyperlink" Id="rId85" Target="Bases/R&#233;glementation/matricules.fonctionnaires.et.vacations.csv" TargetMode="External" /><Relationship Type="http://schemas.openxmlformats.org/officeDocument/2006/relationships/hyperlink" Id="rId83" Target="Bases/R&#233;glementation/personnels.prime.informatique.csv" TargetMode="External" /><Relationship Type="http://schemas.openxmlformats.org/officeDocument/2006/relationships/hyperlink" Id="rId103" Target="Bases/R&#233;glementation/r&#233;mun&#233;rations.&#233;lu.csv" TargetMode="External" /><Relationship Type="http://schemas.openxmlformats.org/officeDocument/2006/relationships/hyperlink" Id="rId91" Target="Bases/R&#233;glementation/traitement.et.vacations.csv" TargetMode="External" /><Relationship Type="http://schemas.openxmlformats.org/officeDocument/2006/relationships/hyperlink" Id="rId69" Target="Bases/R&#233;mun&#233;rations/Analyse.variations.par.exercice.csv" TargetMode="External" /><Relationship Type="http://schemas.openxmlformats.org/officeDocument/2006/relationships/hyperlink" Id="rId68" Target="Bases/R&#233;mun&#233;rations/Analyse.variations.synth&#232;se.csv" TargetMode="External" /><Relationship Type="http://schemas.openxmlformats.org/officeDocument/2006/relationships/hyperlink" Id="rId72" Target="Docs/m&#233;thodologie.pdf" TargetMode="External" /><Relationship Type="http://schemas.openxmlformats.org/officeDocument/2006/relationships/hyperlink" Id="rId79" Target="http://infos.emploipublic.fr/dossiers/la-fonction-publique-en-chiffres/la-fonction-publique-en-chiffre-2013/non-defini-08/apm-71444/" TargetMode="External" /><Relationship Type="http://schemas.openxmlformats.org/officeDocument/2006/relationships/hyperlink" Id="rId62" Target="http://www.fonction-publique.gouv.fr/files/files/statistiques/rapports_annuels/2012-2013/xls/Vue3_1_Remunerations.xls" TargetMode="External" /><Relationship Type="http://schemas.openxmlformats.org/officeDocument/2006/relationships/hyperlink" Id="rId61" Target="http://www.insee.fr/fr/ffc/ipweb/ip1486/ip1486.xls" TargetMode="External" /><Relationship Type="http://schemas.openxmlformats.org/officeDocument/2006/relationships/hyperlink" Id="rId63" Target="http://www.performance-publique.budget.gouv.fr/sites/performance_publique/files/farandole/ressources/2015/pap/pdf/jaunes/jaune2015_fonction_publiqu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Bases/Effectifs/Bulletins.paie.nir.fonctionnaires.csv" TargetMode="External" /><Relationship Type="http://schemas.openxmlformats.org/officeDocument/2006/relationships/hyperlink" Id="rId26" Target="Bases/Effectifs/Bulletins.paie.nir.total.hors.&#233;lus.csv" TargetMode="External" /><Relationship Type="http://schemas.openxmlformats.org/officeDocument/2006/relationships/hyperlink" Id="rId108" Target="Bases/Effectifs/Cat&#233;gories%20des%20personnels.csv" TargetMode="External" /><Relationship Type="http://schemas.openxmlformats.org/officeDocument/2006/relationships/hyperlink" Id="rId23" Target="Bases/Effectifs/tableau.effectifs.csv" TargetMode="External" /><Relationship Type="http://schemas.openxmlformats.org/officeDocument/2006/relationships/hyperlink" Id="rId111" Target="Bases/Fiabilit&#233;/base.heures.nulles.salaire.nonnull.csv" TargetMode="External" /><Relationship Type="http://schemas.openxmlformats.org/officeDocument/2006/relationships/hyperlink" Id="rId112" Target="Bases/Fiabilit&#233;/base.quotit&#233;.ind&#233;finie.salaire.nonnull.csv" TargetMode="External" /><Relationship Type="http://schemas.openxmlformats.org/officeDocument/2006/relationships/hyperlink" Id="rId106" Target="Bases/Paiements/Bulletins.paie.csv" TargetMode="External" /><Relationship Type="http://schemas.openxmlformats.org/officeDocument/2006/relationships/hyperlink" Id="rId107" Target="Bases/Paiements/Paie.csv" TargetMode="External" /><Relationship Type="http://schemas.openxmlformats.org/officeDocument/2006/relationships/hyperlink" Id="rId100" Target="Bases/R&#233;glementation/HS.sup.25.csv" TargetMode="External" /><Relationship Type="http://schemas.openxmlformats.org/officeDocument/2006/relationships/hyperlink" Id="rId82" Target="Bases/R&#233;glementation/NBI.aux.non.titulaires.csv" TargetMode="External" /><Relationship Type="http://schemas.openxmlformats.org/officeDocument/2006/relationships/hyperlink" Id="rId90" Target="Bases/R&#233;glementation/RI.et.vacations.csv" TargetMode="External" /><Relationship Type="http://schemas.openxmlformats.org/officeDocument/2006/relationships/hyperlink" Id="rId94" Target="Bases/R&#233;glementation/base.iat.ifts.csv" TargetMode="External" /><Relationship Type="http://schemas.openxmlformats.org/officeDocument/2006/relationships/hyperlink" Id="rId93" Target="Bases/R&#233;glementation/codes.ifts.csv" TargetMode="External" /><Relationship Type="http://schemas.openxmlformats.org/officeDocument/2006/relationships/hyperlink" Id="rId96" Target="Bases/R&#233;glementation/ifts.et.contractuel.csv" TargetMode="External" /><Relationship Type="http://schemas.openxmlformats.org/officeDocument/2006/relationships/hyperlink" Id="rId101" Target="Bases/R&#233;glementation/ihts.anormales.csv" TargetMode="External" /><Relationship Type="http://schemas.openxmlformats.org/officeDocument/2006/relationships/hyperlink" Id="rId88" Target="Bases/R&#233;glementation/lignes.contractuels.et.vacations.csv" TargetMode="External" /><Relationship Type="http://schemas.openxmlformats.org/officeDocument/2006/relationships/hyperlink" Id="rId86" Target="Bases/R&#233;glementation/lignes.fonctionnaires.et.vacations.csv" TargetMode="External" /><Relationship Type="http://schemas.openxmlformats.org/officeDocument/2006/relationships/hyperlink" Id="rId97" Target="Bases/R&#233;glementation/lignes.ifts.anormales.csv" TargetMode="External" /><Relationship Type="http://schemas.openxmlformats.org/officeDocument/2006/relationships/hyperlink" Id="rId89" Target="Bases/R&#233;glementation/matricules.contractuels.et.vacations.csv" TargetMode="External" /><Relationship Type="http://schemas.openxmlformats.org/officeDocument/2006/relationships/hyperlink" Id="rId85" Target="Bases/R&#233;glementation/matricules.fonctionnaires.et.vacations.csv" TargetMode="External" /><Relationship Type="http://schemas.openxmlformats.org/officeDocument/2006/relationships/hyperlink" Id="rId83" Target="Bases/R&#233;glementation/personnels.prime.informatique.csv" TargetMode="External" /><Relationship Type="http://schemas.openxmlformats.org/officeDocument/2006/relationships/hyperlink" Id="rId103" Target="Bases/R&#233;glementation/r&#233;mun&#233;rations.&#233;lu.csv" TargetMode="External" /><Relationship Type="http://schemas.openxmlformats.org/officeDocument/2006/relationships/hyperlink" Id="rId91" Target="Bases/R&#233;glementation/traitement.et.vacations.csv" TargetMode="External" /><Relationship Type="http://schemas.openxmlformats.org/officeDocument/2006/relationships/hyperlink" Id="rId69" Target="Bases/R&#233;mun&#233;rations/Analyse.variations.par.exercice.csv" TargetMode="External" /><Relationship Type="http://schemas.openxmlformats.org/officeDocument/2006/relationships/hyperlink" Id="rId68" Target="Bases/R&#233;mun&#233;rations/Analyse.variations.synth&#232;se.csv" TargetMode="External" /><Relationship Type="http://schemas.openxmlformats.org/officeDocument/2006/relationships/hyperlink" Id="rId72" Target="Docs/m&#233;thodologie.pdf" TargetMode="External" /><Relationship Type="http://schemas.openxmlformats.org/officeDocument/2006/relationships/hyperlink" Id="rId79" Target="http://infos.emploipublic.fr/dossiers/la-fonction-publique-en-chiffres/la-fonction-publique-en-chiffre-2013/non-defini-08/apm-71444/" TargetMode="External" /><Relationship Type="http://schemas.openxmlformats.org/officeDocument/2006/relationships/hyperlink" Id="rId62" Target="http://www.fonction-publique.gouv.fr/files/files/statistiques/rapports_annuels/2012-2013/xls/Vue3_1_Remunerations.xls" TargetMode="External" /><Relationship Type="http://schemas.openxmlformats.org/officeDocument/2006/relationships/hyperlink" Id="rId61" Target="http://www.insee.fr/fr/ffc/ipweb/ip1486/ip1486.xls" TargetMode="External" /><Relationship Type="http://schemas.openxmlformats.org/officeDocument/2006/relationships/hyperlink" Id="rId63" Target="http://www.performance-publique.budget.gouv.fr/sites/performance_publique/files/farandole/ressources/2015/pap/pdf/jaunes/jaune2015_fonction_publiqu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