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vantproposouIntro"/>
        <w:rPr>
          <w:rFonts w:ascii="Arial" w:hAnsi="Arial" w:cs="Arial"/>
        </w:rPr>
      </w:pPr>
      <w:r>
        <w:rPr>
          <w:rFonts w:cs="Arial" w:ascii="Arial" w:hAnsi="Arial"/>
        </w:rPr>
        <w:drawing>
          <wp:anchor behindDoc="1" distT="0" distB="6985" distL="114300" distR="114300" simplePos="0" locked="0" layoutInCell="1" allowOverlap="1" relativeHeight="2">
            <wp:simplePos x="0" y="0"/>
            <wp:positionH relativeFrom="margin">
              <wp:posOffset>497840</wp:posOffset>
            </wp:positionH>
            <wp:positionV relativeFrom="margin">
              <wp:posOffset>-437515</wp:posOffset>
            </wp:positionV>
            <wp:extent cx="7924800" cy="1250315"/>
            <wp:effectExtent l="0" t="0" r="0" b="0"/>
            <wp:wrapSquare wrapText="bothSides"/>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7924800" cy="1250315"/>
                    </a:xfrm>
                    <a:prstGeom prst="rect">
                      <a:avLst/>
                    </a:prstGeom>
                  </pic:spPr>
                </pic:pic>
              </a:graphicData>
            </a:graphic>
          </wp:anchor>
        </w:drawing>
      </w:r>
    </w:p>
    <w:p>
      <w:pPr>
        <w:pStyle w:val="AvantproposouIntro"/>
        <w:rPr>
          <w:rFonts w:ascii="Arial" w:hAnsi="Arial" w:cs="Arial"/>
        </w:rPr>
      </w:pPr>
      <w:r>
        <w:rPr>
          <w:rFonts w:cs="Arial" w:ascii="Arial" w:hAnsi="Arial"/>
        </w:rPr>
      </w:r>
    </w:p>
    <w:p>
      <w:pPr>
        <w:pStyle w:val="AvantproposouIntro"/>
        <w:rPr>
          <w:rFonts w:ascii="Arial" w:hAnsi="Arial" w:cs="Arial"/>
        </w:rPr>
      </w:pPr>
      <w:r>
        <w:rPr>
          <w:rFonts w:cs="Arial" w:ascii="Arial" w:hAnsi="Arial"/>
        </w:rPr>
      </w:r>
    </w:p>
    <w:p>
      <w:pPr>
        <w:pStyle w:val="AvantproposouIntro"/>
        <w:rPr>
          <w:rFonts w:ascii="Arial" w:hAnsi="Arial" w:cs="Arial"/>
        </w:rPr>
      </w:pPr>
      <w:r>
        <w:rPr>
          <w:rFonts w:cs="Arial" w:ascii="Arial" w:hAnsi="Arial"/>
        </w:rPr>
      </w:r>
    </w:p>
    <w:p>
      <w:pPr>
        <w:pStyle w:val="Titre1"/>
        <w:rPr/>
      </w:pPr>
      <w:r>
        <w:rPr/>
        <w:t>La documentation du projet Altaïr</w:t>
      </w:r>
    </w:p>
    <w:p>
      <w:pPr>
        <w:pStyle w:val="Titre2"/>
        <w:numPr>
          <w:ilvl w:val="0"/>
          <w:numId w:val="2"/>
        </w:numPr>
        <w:rPr/>
      </w:pPr>
      <w:r>
        <w:rPr/>
        <w:t>Les objectifs du projet</w:t>
      </w:r>
    </w:p>
    <w:p>
      <w:pPr>
        <w:pStyle w:val="Normal"/>
        <w:rPr/>
      </w:pPr>
      <w:r>
        <w:rPr/>
        <w:t>Le projet Altaïr (Analyse des lignes de traitement, des attributions indemnitaires et rémunérations diverses) a trois objectifs principaux :</w:t>
      </w:r>
    </w:p>
    <w:p>
      <w:pPr>
        <w:pStyle w:val="ListParagraph"/>
        <w:numPr>
          <w:ilvl w:val="0"/>
          <w:numId w:val="3"/>
        </w:numPr>
        <w:rPr/>
      </w:pPr>
      <w:r>
        <w:rPr/>
        <w:t>remplacer Xemelios pour l’extraction des données de paye au format XML, en améliorant la vitesse d’extraction et la détection des problèmes de qualité des données ;</w:t>
      </w:r>
    </w:p>
    <w:p>
      <w:pPr>
        <w:pStyle w:val="ListParagraph"/>
        <w:numPr>
          <w:ilvl w:val="0"/>
          <w:numId w:val="3"/>
        </w:numPr>
        <w:rPr/>
      </w:pPr>
      <w:r>
        <w:rPr/>
        <w:t>produire des données de nature statistique sur les emplois et les revenus à partir des données de paye extraites ;</w:t>
      </w:r>
    </w:p>
    <w:p>
      <w:pPr>
        <w:pStyle w:val="ListParagraph"/>
        <w:numPr>
          <w:ilvl w:val="0"/>
          <w:numId w:val="3"/>
        </w:numPr>
        <w:rPr/>
      </w:pPr>
      <w:r>
        <w:rPr/>
        <w:t>produire des tests de régularité sur les principaux éléments de rémunération encadrés par des règles de droit, notamment sur le régime indemnitaire.</w:t>
      </w:r>
    </w:p>
    <w:p>
      <w:pPr>
        <w:pStyle w:val="ListParagraph"/>
        <w:rPr/>
      </w:pPr>
      <w:r>
        <w:rPr/>
      </w:r>
    </w:p>
    <w:p>
      <w:pPr>
        <w:pStyle w:val="Titre2"/>
        <w:numPr>
          <w:ilvl w:val="0"/>
          <w:numId w:val="2"/>
        </w:numPr>
        <w:rPr/>
      </w:pPr>
      <w:r>
        <w:rPr/>
        <w:t xml:space="preserve">Les éléments de la documentation </w:t>
      </w:r>
    </w:p>
    <w:p>
      <w:pPr>
        <w:pStyle w:val="Normal"/>
        <w:rPr/>
      </w:pPr>
      <w:r>
        <w:rPr/>
        <w:t>Le projet comprend une documentation à l’attention de trois catégories d’utilisateurs : les équipes de contrôle, les techniciens chargés de l’installation et de la maintenance, les testeurs et développeurs.</w:t>
      </w:r>
    </w:p>
    <w:p>
      <w:pPr>
        <w:pStyle w:val="Normal"/>
        <w:rPr/>
      </w:pPr>
      <w:r>
        <w:rPr/>
        <w:t>La documentation est conservée dans l’entrepôt de code source du projet. Les liens hypertexte qui sont donnés ci-après permettent de récupérer la version la plus récente de ces documents, par téléchargement à partir de l’entrepôt</w:t>
      </w:r>
      <w:r>
        <w:rPr>
          <w:rStyle w:val="Ancredenotedebasdepage"/>
        </w:rPr>
        <w:footnoteReference w:id="2"/>
      </w:r>
      <w:r>
        <w:rPr/>
        <w:t xml:space="preserve">. </w:t>
      </w:r>
    </w:p>
    <w:p>
      <w:pPr>
        <w:pStyle w:val="Normal"/>
        <w:rPr/>
      </w:pPr>
      <w:r>
        <w:rPr/>
      </w:r>
    </w:p>
    <w:p>
      <w:pPr>
        <w:pStyle w:val="Titre3"/>
        <w:rPr/>
      </w:pPr>
      <w:r>
        <w:rPr/>
      </w:r>
    </w:p>
    <w:p>
      <w:pPr>
        <w:pStyle w:val="Titre3"/>
        <w:rPr/>
      </w:pPr>
      <w:r>
        <w:rPr/>
        <w:t>La documentation à l’attention des équipes de contrôle</w:t>
      </w:r>
    </w:p>
    <w:p>
      <w:pPr>
        <w:pStyle w:val="Normal"/>
        <w:rPr/>
      </w:pPr>
      <w:r>
        <w:rPr/>
        <w:t xml:space="preserve">Une présentation opérationnelle de l’extraction des données de paye avec Altaïr est téléchargeable </w:t>
      </w:r>
      <w:hyperlink r:id="rId3">
        <w:r>
          <w:rPr>
            <w:rStyle w:val="LienInternet"/>
          </w:rPr>
          <w:t>à ce lien permanent</w:t>
        </w:r>
      </w:hyperlink>
      <w:r>
        <w:rPr/>
        <w:t>.</w:t>
      </w:r>
    </w:p>
    <w:p>
      <w:pPr>
        <w:pStyle w:val="Normal"/>
        <w:rPr/>
      </w:pPr>
      <w:r>
        <w:rPr/>
        <w:t>Un guide plus détaillé, comprenant également des indications méthodologiques sur la réalisation des tests statutaires et réglementaires, est en cours d’achèvement. Il sera disponible en deuxième semaine de décembre 2016.</w:t>
      </w:r>
    </w:p>
    <w:p>
      <w:pPr>
        <w:pStyle w:val="Normal"/>
        <w:rPr/>
      </w:pPr>
      <w:r>
        <w:rPr/>
      </w:r>
    </w:p>
    <w:p>
      <w:pPr>
        <w:pStyle w:val="Titre3"/>
        <w:rPr/>
      </w:pPr>
      <w:r>
        <w:rPr/>
        <w:t>La documentation à l’attention des techniciens chargés de l’installation de la plateforme logicielle</w:t>
      </w:r>
    </w:p>
    <w:p>
      <w:pPr>
        <w:pStyle w:val="Normal"/>
        <w:rPr/>
      </w:pPr>
      <w:r>
        <w:rPr/>
        <w:t>Altaïr ne dépend que de logiciels libres. Il est déployé sous le système d’exploitation GNU/Linux. Ces caractéristiques amènent à installer le logiciel en mettant en œuvre une procédure de clonage d’une image qui contient à la fois le système d’exploitation, le logiciel Altaïr et l’ensemble des logiciels libres dont il dépend.</w:t>
      </w:r>
    </w:p>
    <w:p>
      <w:pPr>
        <w:pStyle w:val="Normal"/>
        <w:rPr/>
      </w:pPr>
      <w:r>
        <w:rPr/>
        <w:t xml:space="preserve">Cette procédure de clonage est détaillée </w:t>
      </w:r>
      <w:hyperlink r:id="rId4">
        <w:r>
          <w:rPr>
            <w:rStyle w:val="LienInternet"/>
          </w:rPr>
          <w:t>à ce lien permanent</w:t>
        </w:r>
      </w:hyperlink>
      <w:r>
        <w:rPr/>
        <w:t>.</w:t>
      </w:r>
    </w:p>
    <w:p>
      <w:pPr>
        <w:pStyle w:val="Normal"/>
        <w:rPr/>
      </w:pPr>
      <w:r>
        <w:rPr/>
      </w:r>
    </w:p>
    <w:p>
      <w:pPr>
        <w:pStyle w:val="Titre3"/>
        <w:rPr/>
      </w:pPr>
      <w:r>
        <w:rPr/>
        <w:t>La documentation à l’attention des testeurs et développeurs</w:t>
      </w:r>
    </w:p>
    <w:p>
      <w:pPr>
        <w:pStyle w:val="Normal"/>
        <w:rPr/>
      </w:pPr>
      <w:r>
        <w:rPr/>
        <w:t xml:space="preserve">Comme tout logiciel, Altaïr a vocation à évoluer en fonction des retours d’expérience. </w:t>
      </w:r>
    </w:p>
    <w:p>
      <w:pPr>
        <w:pStyle w:val="Normal"/>
        <w:rPr/>
      </w:pPr>
      <w:r>
        <w:rPr/>
        <w:t xml:space="preserve">Une notice permettant aux testeurs et développeurs de rapporter précisément les problèmes logiciels (« bogues ») est disponible </w:t>
      </w:r>
      <w:hyperlink r:id="rId5">
        <w:r>
          <w:rPr>
            <w:rStyle w:val="LienInternet"/>
          </w:rPr>
          <w:t>à ce lien permanent</w:t>
        </w:r>
      </w:hyperlink>
      <w:r>
        <w:rPr/>
        <w:t>.</w:t>
      </w:r>
    </w:p>
    <w:p>
      <w:pPr>
        <w:pStyle w:val="Normal"/>
        <w:rPr/>
      </w:pPr>
      <w:r>
        <w:rPr/>
        <w:t xml:space="preserve">Le logiciel étant entièrement développé au sein des juridictions financières, son code source est accessible </w:t>
      </w:r>
      <w:hyperlink r:id="rId6">
        <w:r>
          <w:rPr>
            <w:rStyle w:val="LienInternet"/>
          </w:rPr>
          <w:t>à ce lien permanent</w:t>
        </w:r>
      </w:hyperlink>
      <w:r>
        <w:rPr/>
        <w:t>.</w:t>
      </w:r>
    </w:p>
    <w:p>
      <w:pPr>
        <w:pStyle w:val="Normal"/>
        <w:rPr/>
      </w:pPr>
      <w:r>
        <w:rPr/>
        <w:t xml:space="preserve">La disponibilité du code permettra aux testeurs de modifier certains paramètres afin d’adapter au mieux la réponse du logiciel aux situations de test. </w:t>
      </w:r>
    </w:p>
    <w:p>
      <w:pPr>
        <w:pStyle w:val="Normal"/>
        <w:rPr/>
      </w:pPr>
      <w:r>
        <w:rPr/>
        <w:t xml:space="preserve">L’utilisation d’un logiciel de gestion de code source permet aux développeurs d’accéder aisément au code source et de le modifier en préservant l’historique des modifications. Une notice relative à l’accès à l’entrepôt de code source et à son clonage est disponible </w:t>
      </w:r>
      <w:hyperlink r:id="rId7">
        <w:r>
          <w:rPr>
            <w:rStyle w:val="LienInternet"/>
          </w:rPr>
          <w:t>à ce lien permanent</w:t>
        </w:r>
      </w:hyperlink>
      <w:r>
        <w:rPr/>
        <w:t>.</w:t>
      </w:r>
    </w:p>
    <w:p>
      <w:pPr>
        <w:pStyle w:val="Normal"/>
        <w:spacing w:lineRule="auto" w:line="276" w:before="0" w:after="200"/>
        <w:jc w:val="left"/>
        <w:rPr/>
      </w:pPr>
      <w:r>
        <w:rPr/>
      </w:r>
      <w:r>
        <w:br w:type="page"/>
      </w:r>
    </w:p>
    <w:p>
      <w:pPr>
        <w:pStyle w:val="Normal"/>
        <w:rPr/>
      </w:pPr>
      <w:r>
        <w:rPr/>
      </w:r>
    </w:p>
    <w:p>
      <w:pPr>
        <w:pStyle w:val="Titre3"/>
        <w:rPr/>
      </w:pPr>
      <w:r>
        <w:rPr/>
        <w:t>La documentation annexe</w:t>
      </w:r>
    </w:p>
    <w:p>
      <w:pPr>
        <w:pStyle w:val="Normal"/>
        <w:rPr/>
      </w:pPr>
      <w:r>
        <w:rPr/>
      </w:r>
    </w:p>
    <w:p>
      <w:pPr>
        <w:pStyle w:val="Normal"/>
        <w:rPr/>
      </w:pPr>
      <w:r>
        <w:rPr/>
        <w:t xml:space="preserve">La documentation à l’attention des équipes de contrôle comprend également une annexe technique relative au calcul statistique des emplois exprimés en EQTP  (équivalents temps pleins travaillés). </w:t>
      </w:r>
      <w:hyperlink r:id="rId8">
        <w:r>
          <w:rPr>
            <w:rStyle w:val="LienInternet"/>
          </w:rPr>
          <w:t>Cette notice</w:t>
        </w:r>
      </w:hyperlink>
      <w:r>
        <w:rPr/>
        <w:t xml:space="preserve">  précise les modalités d’adaptation de la méthodologie INSEE aux calculs réalisés dans les rapports d’analyse.</w:t>
      </w:r>
    </w:p>
    <w:p>
      <w:pPr>
        <w:pStyle w:val="Normal"/>
        <w:rPr/>
      </w:pPr>
      <w:r>
        <w:rPr/>
      </w:r>
    </w:p>
    <w:p>
      <w:pPr>
        <w:pStyle w:val="Normal"/>
        <w:rPr/>
      </w:pPr>
      <w:r>
        <w:rPr/>
        <w:t>La documentation logicielle comprend également :</w:t>
      </w:r>
    </w:p>
    <w:p>
      <w:pPr>
        <w:pStyle w:val="ListParagraph"/>
        <w:numPr>
          <w:ilvl w:val="0"/>
          <w:numId w:val="4"/>
        </w:numPr>
        <w:rPr/>
      </w:pPr>
      <w:r>
        <w:rPr/>
        <w:t xml:space="preserve">une </w:t>
      </w:r>
      <w:hyperlink r:id="rId9">
        <w:r>
          <w:rPr>
            <w:rStyle w:val="LienInternet"/>
          </w:rPr>
          <w:t>fiche technique</w:t>
        </w:r>
      </w:hyperlink>
      <w:r>
        <w:rPr/>
        <w:t xml:space="preserve"> sur les retours des tests d’extraction de données ;</w:t>
      </w:r>
    </w:p>
    <w:p>
      <w:pPr>
        <w:pStyle w:val="ListParagraph"/>
        <w:numPr>
          <w:ilvl w:val="0"/>
          <w:numId w:val="4"/>
        </w:numPr>
        <w:rPr/>
      </w:pPr>
      <w:r>
        <w:rPr/>
        <w:t xml:space="preserve">une </w:t>
      </w:r>
      <w:hyperlink r:id="rId10">
        <w:r>
          <w:rPr>
            <w:rStyle w:val="LienInternet"/>
          </w:rPr>
          <w:t>fiche statistique</w:t>
        </w:r>
      </w:hyperlink>
      <w:r>
        <w:rPr/>
        <w:t xml:space="preserve"> sur la volumétrie du projet (nombre de lignes de code source) ;</w:t>
      </w:r>
    </w:p>
    <w:p>
      <w:pPr>
        <w:pStyle w:val="ListParagraph"/>
        <w:numPr>
          <w:ilvl w:val="0"/>
          <w:numId w:val="4"/>
        </w:numPr>
        <w:rPr/>
      </w:pPr>
      <w:r>
        <w:rPr/>
        <w:t>une documentation des principaux algorithmes et fonctions utilisés dans le code source de l’extracteur de données.</w:t>
      </w:r>
    </w:p>
    <w:p>
      <w:pPr>
        <w:pStyle w:val="ListParagraph"/>
        <w:ind w:left="1080" w:hanging="0"/>
        <w:rPr/>
      </w:pPr>
      <w:r>
        <w:rPr/>
        <w:t xml:space="preserve">Cette documentation, dont la génération est en partie automatisée, permet aux développeurs de comprendre plus aisément l’architecture du logiciel. Elle facilitera ainsi la maintenance et la réalisation de correctifs ou de compléments de développement. </w:t>
      </w:r>
    </w:p>
    <w:p>
      <w:pPr>
        <w:pStyle w:val="ListParagraph"/>
        <w:ind w:left="1080" w:hanging="0"/>
        <w:rPr/>
      </w:pPr>
      <w:r>
        <w:rPr/>
        <w:t>En raison de sa technicité, cette pièce n’est utile qu’à des développeurs. Elle est régulièrement actualisée.</w:t>
      </w:r>
    </w:p>
    <w:p>
      <w:pPr>
        <w:pStyle w:val="ListParagraph"/>
        <w:ind w:left="1080" w:hanging="0"/>
        <w:rPr/>
      </w:pPr>
      <w:r>
        <w:rPr/>
        <w:t xml:space="preserve">Elle est disponible </w:t>
      </w:r>
      <w:hyperlink r:id="rId11">
        <w:r>
          <w:rPr>
            <w:rStyle w:val="LienInternet"/>
          </w:rPr>
          <w:t>à ce lien perma</w:t>
        </w:r>
        <w:bookmarkStart w:id="0" w:name="_GoBack1"/>
        <w:bookmarkEnd w:id="0"/>
        <w:r>
          <w:rPr>
            <w:rStyle w:val="LienInternet"/>
          </w:rPr>
          <w:t>nent </w:t>
        </w:r>
      </w:hyperlink>
    </w:p>
    <w:p>
      <w:pPr>
        <w:pStyle w:val="Normal"/>
        <w:rPr/>
      </w:pPr>
      <w:r>
        <w:rPr/>
      </w:r>
    </w:p>
    <w:p>
      <w:pPr>
        <w:pStyle w:val="Normal"/>
        <w:widowControl/>
        <w:bidi w:val="0"/>
        <w:spacing w:lineRule="atLeast" w:line="256" w:before="120" w:after="120"/>
        <w:jc w:val="both"/>
        <w:rPr/>
      </w:pPr>
      <w:r>
        <w:rPr/>
      </w:r>
    </w:p>
    <w:sectPr>
      <w:footerReference w:type="default" r:id="rId12"/>
      <w:footnotePr>
        <w:numFmt w:val="decimal"/>
      </w:footnotePr>
      <w:type w:val="nextPage"/>
      <w:pgSz w:orient="landscape" w:w="16838" w:h="11906"/>
      <w:pgMar w:left="1418" w:right="1418" w:header="0" w:top="1418" w:footer="709"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Gras">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46956258"/>
    </w:sdtPr>
    <w:sdtContent>
      <w:p>
        <w:pPr>
          <w:pStyle w:val="Pieddepage"/>
          <w:jc w:val="right"/>
          <w:rPr/>
        </w:pPr>
        <w:r>
          <w:rPr/>
          <w:fldChar w:fldCharType="begin"/>
        </w:r>
        <w:r>
          <w:instrText> PAGE </w:instrText>
        </w:r>
        <w:r>
          <w:fldChar w:fldCharType="separate"/>
        </w:r>
        <w:r>
          <w:t>3</w:t>
        </w:r>
        <w:r>
          <w:fldChar w:fldCharType="end"/>
        </w:r>
      </w:p>
    </w:sdtContent>
  </w:sdt>
  <w:p>
    <w:pPr>
      <w:pStyle w:val="Pieddepage"/>
      <w:rPr/>
    </w:pPr>
    <w:r>
      <w:rPr/>
      <w:t>Fabrice Nicol  Groupe RH  version 1.0 du 8 novembre 2016</w:t>
    </w:r>
  </w:p>
  <w:p>
    <w:pPr>
      <w:pStyle w:val="Pieddepage"/>
      <w:tabs>
        <w:tab w:val="left" w:pos="1020" w:leader="none"/>
      </w:tabs>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L’accès au réseau des juridictions financières est requis pour ce téléchargement.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2"/>
      <w:numFmt w:val="decimal"/>
      <w:lvlText w:val="%1."/>
      <w:lvlJc w:val="left"/>
      <w:pPr>
        <w:ind w:left="644"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644"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108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d4dad"/>
    <w:pPr>
      <w:widowControl/>
      <w:bidi w:val="0"/>
      <w:spacing w:lineRule="atLeast" w:line="256" w:before="120" w:after="120"/>
      <w:jc w:val="both"/>
    </w:pPr>
    <w:rPr>
      <w:rFonts w:ascii="Times New Roman" w:hAnsi="Times New Roman" w:eastAsia="Calibri" w:cs="" w:cstheme="minorBidi" w:eastAsiaTheme="minorHAnsi"/>
      <w:color w:val="auto"/>
      <w:kern w:val="0"/>
      <w:sz w:val="22"/>
      <w:szCs w:val="22"/>
      <w:lang w:val="fr-FR" w:eastAsia="en-US" w:bidi="ar-SA"/>
    </w:rPr>
  </w:style>
  <w:style w:type="paragraph" w:styleId="Titre1">
    <w:name w:val="Heading 1"/>
    <w:basedOn w:val="Normal"/>
    <w:next w:val="Normal"/>
    <w:link w:val="Titre1Car"/>
    <w:uiPriority w:val="9"/>
    <w:qFormat/>
    <w:rsid w:val="002d4dad"/>
    <w:pPr>
      <w:keepNext w:val="true"/>
      <w:keepLines/>
      <w:shd w:val="clear" w:color="auto" w:fill="F0BE46"/>
      <w:spacing w:before="480" w:after="360"/>
      <w:outlineLvl w:val="0"/>
    </w:pPr>
    <w:rPr>
      <w:rFonts w:eastAsia="" w:cs="" w:cstheme="majorBidi" w:eastAsiaTheme="majorEastAsia"/>
      <w:b/>
      <w:bCs/>
      <w:caps/>
      <w:sz w:val="32"/>
      <w:szCs w:val="28"/>
    </w:rPr>
  </w:style>
  <w:style w:type="paragraph" w:styleId="Titre2">
    <w:name w:val="Heading 2"/>
    <w:basedOn w:val="Normal"/>
    <w:next w:val="Normal"/>
    <w:link w:val="Titre2Car"/>
    <w:uiPriority w:val="9"/>
    <w:unhideWhenUsed/>
    <w:qFormat/>
    <w:rsid w:val="002d4dad"/>
    <w:pPr>
      <w:keepNext w:val="true"/>
      <w:keepLines/>
      <w:numPr>
        <w:ilvl w:val="0"/>
        <w:numId w:val="1"/>
      </w:numPr>
      <w:pBdr>
        <w:bottom w:val="single" w:sz="4" w:space="1" w:color="00000A"/>
      </w:pBdr>
      <w:spacing w:lineRule="auto" w:line="240" w:before="240" w:after="240"/>
      <w:outlineLvl w:val="0"/>
    </w:pPr>
    <w:rPr>
      <w:rFonts w:eastAsia="" w:cs="" w:cstheme="majorBidi" w:eastAsiaTheme="majorEastAsia"/>
      <w:b/>
      <w:bCs/>
      <w:smallCaps/>
      <w:sz w:val="24"/>
      <w:szCs w:val="26"/>
    </w:rPr>
  </w:style>
  <w:style w:type="paragraph" w:styleId="Titre3">
    <w:name w:val="Heading 3"/>
    <w:basedOn w:val="Normal"/>
    <w:next w:val="Normal"/>
    <w:link w:val="Titre3Car"/>
    <w:uiPriority w:val="9"/>
    <w:unhideWhenUsed/>
    <w:qFormat/>
    <w:rsid w:val="008731cb"/>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2d4dad"/>
    <w:rPr>
      <w:rFonts w:ascii="Times New Roman" w:hAnsi="Times New Roman" w:eastAsia="" w:cs="" w:cstheme="majorBidi" w:eastAsiaTheme="majorEastAsia"/>
      <w:caps/>
      <w:sz w:val="32"/>
      <w:szCs w:val="28"/>
      <w:shd w:fill="F0BE46" w:val="clear"/>
    </w:rPr>
  </w:style>
  <w:style w:type="character" w:styleId="Titre2Car" w:customStyle="1">
    <w:name w:val="Titre 2 Car"/>
    <w:basedOn w:val="DefaultParagraphFont"/>
    <w:link w:val="Titre2"/>
    <w:uiPriority w:val="9"/>
    <w:qFormat/>
    <w:rsid w:val="002d4dad"/>
    <w:rPr>
      <w:rFonts w:ascii="Times New Roman" w:hAnsi="Times New Roman" w:eastAsia="" w:cs="" w:cstheme="majorBidi" w:eastAsiaTheme="majorEastAsia"/>
      <w:b/>
      <w:bCs/>
      <w:smallCaps/>
      <w:sz w:val="24"/>
      <w:szCs w:val="26"/>
    </w:rPr>
  </w:style>
  <w:style w:type="character" w:styleId="LienInternet">
    <w:name w:val="Lien Internet"/>
    <w:basedOn w:val="DefaultParagraphFont"/>
    <w:uiPriority w:val="99"/>
    <w:unhideWhenUsed/>
    <w:rsid w:val="002d4dad"/>
    <w:rPr>
      <w:color w:val="0000FF" w:themeColor="hyperlink"/>
      <w:u w:val="single"/>
    </w:rPr>
  </w:style>
  <w:style w:type="character" w:styleId="ParagraphedelisteCar" w:customStyle="1">
    <w:name w:val="Paragraphe de liste Car"/>
    <w:link w:val="Paragraphedeliste"/>
    <w:uiPriority w:val="34"/>
    <w:qFormat/>
    <w:rsid w:val="002d4dad"/>
    <w:rPr>
      <w:rFonts w:ascii="Times New Roman" w:hAnsi="Times New Roman"/>
    </w:rPr>
  </w:style>
  <w:style w:type="character" w:styleId="Titre3Car" w:customStyle="1">
    <w:name w:val="Titre 3 Car"/>
    <w:basedOn w:val="DefaultParagraphFont"/>
    <w:link w:val="Titre3"/>
    <w:uiPriority w:val="9"/>
    <w:qFormat/>
    <w:rsid w:val="008731cb"/>
    <w:rPr>
      <w:rFonts w:ascii="Cambria" w:hAnsi="Cambria" w:eastAsia="" w:cs="" w:asciiTheme="majorHAnsi" w:cstheme="majorBidi" w:eastAsiaTheme="majorEastAsia" w:hAnsiTheme="majorHAnsi"/>
      <w:b/>
      <w:bCs/>
      <w:color w:val="4F81BD" w:themeColor="accent1"/>
    </w:rPr>
  </w:style>
  <w:style w:type="character" w:styleId="TitreCar" w:customStyle="1">
    <w:name w:val="Titre Car"/>
    <w:basedOn w:val="DefaultParagraphFont"/>
    <w:link w:val="Titre"/>
    <w:uiPriority w:val="10"/>
    <w:qFormat/>
    <w:rsid w:val="008731cb"/>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EntteCar" w:customStyle="1">
    <w:name w:val="En-tête Car"/>
    <w:basedOn w:val="DefaultParagraphFont"/>
    <w:link w:val="En-tte"/>
    <w:uiPriority w:val="99"/>
    <w:qFormat/>
    <w:rsid w:val="00cd1be4"/>
    <w:rPr>
      <w:rFonts w:ascii="Times New Roman" w:hAnsi="Times New Roman"/>
    </w:rPr>
  </w:style>
  <w:style w:type="character" w:styleId="PieddepageCar" w:customStyle="1">
    <w:name w:val="Pied de page Car"/>
    <w:basedOn w:val="DefaultParagraphFont"/>
    <w:link w:val="Pieddepage"/>
    <w:uiPriority w:val="99"/>
    <w:qFormat/>
    <w:rsid w:val="00cd1be4"/>
    <w:rPr>
      <w:rFonts w:ascii="Times New Roman" w:hAnsi="Times New Roman"/>
    </w:rPr>
  </w:style>
  <w:style w:type="character" w:styleId="TextedebullesCar" w:customStyle="1">
    <w:name w:val="Texte de bulles Car"/>
    <w:basedOn w:val="DefaultParagraphFont"/>
    <w:link w:val="Textedebulles"/>
    <w:uiPriority w:val="99"/>
    <w:semiHidden/>
    <w:qFormat/>
    <w:rsid w:val="00032657"/>
    <w:rPr>
      <w:rFonts w:ascii="Tahoma" w:hAnsi="Tahoma" w:cs="Tahoma"/>
      <w:sz w:val="16"/>
      <w:szCs w:val="16"/>
    </w:rPr>
  </w:style>
  <w:style w:type="character" w:styleId="NotedebasdepageCar" w:customStyle="1">
    <w:name w:val="Note de bas de page Car"/>
    <w:basedOn w:val="DefaultParagraphFont"/>
    <w:link w:val="Notedebasdepage"/>
    <w:uiPriority w:val="99"/>
    <w:semiHidden/>
    <w:qFormat/>
    <w:rsid w:val="00032657"/>
    <w:rPr>
      <w:rFonts w:ascii="Times New Roman" w:hAnsi="Times New Roman"/>
      <w:sz w:val="20"/>
      <w:szCs w:val="20"/>
    </w:rPr>
  </w:style>
  <w:style w:type="character" w:styleId="Footnotereference">
    <w:name w:val="footnote reference"/>
    <w:basedOn w:val="DefaultParagraphFont"/>
    <w:uiPriority w:val="99"/>
    <w:semiHidden/>
    <w:unhideWhenUsed/>
    <w:qFormat/>
    <w:rsid w:val="00032657"/>
    <w:rPr>
      <w:vertAlign w:val="superscript"/>
    </w:rPr>
  </w:style>
  <w:style w:type="character" w:styleId="FollowedHyperlink">
    <w:name w:val="FollowedHyperlink"/>
    <w:basedOn w:val="DefaultParagraphFont"/>
    <w:uiPriority w:val="99"/>
    <w:semiHidden/>
    <w:unhideWhenUsed/>
    <w:qFormat/>
    <w:rsid w:val="00363d66"/>
    <w:rPr>
      <w:color w:val="800080" w:themeColor="followedHyperlink"/>
      <w:u w:val="single"/>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Liberation Sans" w:cs="Noto Sans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vantproposouIntro" w:customStyle="1">
    <w:name w:val="avant propos ou Intro"/>
    <w:basedOn w:val="Normal"/>
    <w:qFormat/>
    <w:rsid w:val="002d4dad"/>
    <w:pPr>
      <w:spacing w:lineRule="auto" w:line="276" w:before="0" w:after="200"/>
      <w:jc w:val="center"/>
    </w:pPr>
    <w:rPr>
      <w:rFonts w:ascii="Arial Gras" w:hAnsi="Arial Gras"/>
      <w:b/>
      <w:smallCaps/>
    </w:rPr>
  </w:style>
  <w:style w:type="paragraph" w:styleId="ListParagraph">
    <w:name w:val="List Paragraph"/>
    <w:basedOn w:val="Normal"/>
    <w:link w:val="ParagraphedelisteCar"/>
    <w:uiPriority w:val="34"/>
    <w:qFormat/>
    <w:rsid w:val="002d4dad"/>
    <w:pPr>
      <w:spacing w:lineRule="auto" w:line="360" w:before="120" w:after="200"/>
      <w:ind w:left="720" w:hanging="0"/>
      <w:contextualSpacing/>
    </w:pPr>
    <w:rPr/>
  </w:style>
  <w:style w:type="paragraph" w:styleId="Titreprincipal">
    <w:name w:val="Title"/>
    <w:basedOn w:val="Normal"/>
    <w:next w:val="Normal"/>
    <w:link w:val="TitreCar"/>
    <w:uiPriority w:val="10"/>
    <w:qFormat/>
    <w:rsid w:val="008731cb"/>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Entte">
    <w:name w:val="Header"/>
    <w:basedOn w:val="Normal"/>
    <w:link w:val="En-tteCar"/>
    <w:uiPriority w:val="99"/>
    <w:unhideWhenUsed/>
    <w:rsid w:val="00cd1be4"/>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cd1be4"/>
    <w:pPr>
      <w:tabs>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qFormat/>
    <w:rsid w:val="00032657"/>
    <w:pPr>
      <w:spacing w:lineRule="auto" w:line="240" w:before="0" w:after="0"/>
    </w:pPr>
    <w:rPr>
      <w:rFonts w:ascii="Tahoma" w:hAnsi="Tahoma" w:cs="Tahoma"/>
      <w:sz w:val="16"/>
      <w:szCs w:val="16"/>
    </w:rPr>
  </w:style>
  <w:style w:type="paragraph" w:styleId="Footnotetext">
    <w:name w:val="footnote text"/>
    <w:basedOn w:val="Normal"/>
    <w:link w:val="NotedebasdepageCar"/>
    <w:uiPriority w:val="99"/>
    <w:semiHidden/>
    <w:unhideWhenUsed/>
    <w:qFormat/>
    <w:rsid w:val="00032657"/>
    <w:pPr>
      <w:spacing w:lineRule="auto" w:line="240" w:before="0" w:after="0"/>
    </w:pPr>
    <w:rPr>
      <w:sz w:val="20"/>
      <w:szCs w:val="20"/>
    </w:rPr>
  </w:style>
  <w:style w:type="paragraph" w:styleId="Notedebasdepage">
    <w:name w:val="Footnote Text"/>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2d4d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labjf.ccomptes.fr/fnicol/master-jf/blob/master-jf/Docs/Guide utilisateurs.pptx" TargetMode="External"/><Relationship Id="rId4" Type="http://schemas.openxmlformats.org/officeDocument/2006/relationships/hyperlink" Target="https://gitlabjf.ccomptes.fr/fnicol/master-jf/blob/master-jf/Docs/projet/INSTALLATION DU LOGICIEL ALTA&#207;R.pptx" TargetMode="External"/><Relationship Id="rId5" Type="http://schemas.openxmlformats.org/officeDocument/2006/relationships/hyperlink" Target="https://gitlabjf.ccomptes.fr/fnicol/master-jf/blob/master-jf/Docs/projet/MANTIS-suivi des bogues.pdf" TargetMode="External"/><Relationship Id="rId6" Type="http://schemas.openxmlformats.org/officeDocument/2006/relationships/hyperlink" Target="https://gitlabjf.ccomptes.fr/fnicol/master-jf" TargetMode="External"/><Relationship Id="rId7" Type="http://schemas.openxmlformats.org/officeDocument/2006/relationships/hyperlink" Target="https://gitlabjf.ccomptes.fr/fnicol/master-jf/blob/master-jf/Docs/projet/Guide d&#233;veloppement Alta&#239;r.pdf" TargetMode="External"/><Relationship Id="rId8" Type="http://schemas.openxmlformats.org/officeDocument/2006/relationships/hyperlink" Target="https://gitlabjf.ccomptes.fr/fnicol/master-jf/blob/master-jf/Docs/m&#233;thodologie.pdf" TargetMode="External"/><Relationship Id="rId9" Type="http://schemas.openxmlformats.org/officeDocument/2006/relationships/hyperlink" Target="https://gitlabjf.ccomptes.fr/fnicol/master-jf/blob/master-jf/Docs/projet/Alta&#239;r-Tests de charge.xlsx" TargetMode="External"/><Relationship Id="rId10" Type="http://schemas.openxmlformats.org/officeDocument/2006/relationships/hyperlink" Target="https://gitlabjf.ccomptes.fr/fnicol/master-jf/blob/master-jf/Docs/projet/Alta&#239;r - volum&#233;trie de codage.pdf" TargetMode="External"/><Relationship Id="rId11" Type="http://schemas.openxmlformats.org/officeDocument/2006/relationships/hyperlink" Target="https://gitlabjf.ccomptes.fr/fnicol/master-jf/blob/master-jf/Docs/html/index.html" TargetMode="Externa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57A6C-4180-420B-9D16-ADF6CE1B3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Application>LibreOffice/5.4.2.2.0$Linux_X86_64 LibreOffice_project/40m0$Build-2</Application>
  <Pages>3</Pages>
  <Words>607</Words>
  <Characters>3472</Characters>
  <CharactersWithSpaces>4048</CharactersWithSpaces>
  <Paragraphs>33</Paragraphs>
  <Company>Cour des Comptes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2016-11-08T20:25:00Z</dcterms:created>
  <dc:creator>CAM Méthodes</dc:creator>
  <dc:description/>
  <dc:language>fr-FR</dc:language>
  <cp:lastModifiedBy/>
  <dcterms:modified xsi:type="dcterms:W3CDTF">2018-01-10T16:31:14Z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Cour des Comptes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