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1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32.png" ContentType="image/png"/>
  <Override PartName="/word/media/rId56.png" ContentType="image/png"/>
  <Override PartName="/word/media/rId57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35.png" ContentType="image/png"/>
  <Override PartName="/word/media/rId70.png" ContentType="image/png"/>
  <Override PartName="/word/media/rId71.png" ContentType="image/png"/>
  <Override PartName="/word/media/rId36.png" ContentType="image/png"/>
  <Override PartName="/word/media/rId39.png" ContentType="image/png"/>
  <Override PartName="/word/media/rId40.png" ContentType="image/png"/>
  <Override PartName="/word/media/rId43.png" ContentType="image/png"/>
  <Override PartName="/word/media/rId79.png" ContentType="image/png"/>
  <Override PartName="/word/media/rId80.png" ContentType="image/png"/>
  <Override PartName="/word/media/rId88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drawing>
          <wp:inline>
            <wp:extent cx="1422400" cy="54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demonstrateur-altair-version-15.10"/>
      <w:bookmarkEnd w:id="22"/>
      <w:r>
        <w:t xml:space="preserve">Démonstrateur Altaïr version 15.10</w:t>
      </w:r>
    </w:p>
    <w:p>
      <w:pPr>
        <w:pStyle w:val="Compact"/>
      </w:pPr>
      <w:r>
        <w:t xml:space="preserve">Exercices 2010 à 2013</w:t>
      </w:r>
      <w:r>
        <w:t xml:space="preserve"> </w:t>
      </w:r>
    </w:p>
    <w:p>
      <w:pPr>
        <w:pStyle w:val="Compact"/>
      </w:pPr>
      <w:r>
        <w:t xml:space="preserve">Fabrice Nicol</w:t>
      </w:r>
    </w:p>
    <w:p>
      <w:r>
        <w:t xml:space="preserve">dim. 06 déc. 2015</w:t>
      </w:r>
    </w:p>
    <w:p>
      <w:r>
        <w:t xml:space="preserve">La durée du travail prise en compte dans la base de données est de 151,67 h par mois.</w:t>
      </w:r>
    </w:p>
    <w:p>
      <w:pPr>
        <w:pStyle w:val="Heading1"/>
      </w:pPr>
      <w:bookmarkStart w:id="23" w:name="statistiques-de-population"/>
      <w:bookmarkEnd w:id="23"/>
      <w:r>
        <w:t xml:space="preserve">1. Statistiques de population</w:t>
      </w:r>
    </w:p>
    <w:p>
      <w:pPr>
        <w:pStyle w:val="Heading3"/>
      </w:pPr>
      <w:bookmarkStart w:id="24" w:name="effectifs"/>
      <w:bookmarkEnd w:id="24"/>
      <w:r>
        <w:t xml:space="preserve">1.1 Effectifs</w:t>
      </w:r>
    </w:p>
    <w:p>
      <w:r>
        <w:t xml:space="preserve"> </w:t>
      </w:r>
      <w:r>
        <w:rPr>
          <w:i/>
        </w:rPr>
        <w:t xml:space="preserve">Tableau 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effectifs (a)</w:t>
            </w:r>
          </w:p>
        </w:tc>
        <w:tc>
          <w:p>
            <w:pPr>
              <w:pStyle w:val="Compact"/>
              <w:jc w:val="center"/>
            </w:pPr>
            <w:r>
              <w:t xml:space="preserve">386,0</w:t>
            </w:r>
          </w:p>
        </w:tc>
        <w:tc>
          <w:p>
            <w:pPr>
              <w:pStyle w:val="Compact"/>
              <w:jc w:val="center"/>
            </w:pPr>
            <w:r>
              <w:t xml:space="preserve">391,0</w:t>
            </w:r>
          </w:p>
        </w:tc>
        <w:tc>
          <w:p>
            <w:pPr>
              <w:pStyle w:val="Compact"/>
              <w:jc w:val="center"/>
            </w:pPr>
            <w:r>
              <w:t xml:space="preserve">407,0</w:t>
            </w:r>
          </w:p>
        </w:tc>
        <w:tc>
          <w:p>
            <w:pPr>
              <w:pStyle w:val="Compact"/>
              <w:jc w:val="center"/>
            </w:pPr>
            <w:r>
              <w:t xml:space="preserve">448,0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présents 12 mois</w:t>
            </w:r>
          </w:p>
        </w:tc>
        <w:tc>
          <w:p>
            <w:pPr>
              <w:pStyle w:val="Compact"/>
              <w:jc w:val="center"/>
            </w:pPr>
            <w:r>
              <w:t xml:space="preserve">224,0</w:t>
            </w:r>
          </w:p>
        </w:tc>
        <w:tc>
          <w:p>
            <w:pPr>
              <w:pStyle w:val="Compact"/>
              <w:jc w:val="center"/>
            </w:pPr>
            <w:r>
              <w:t xml:space="preserve">227,0</w:t>
            </w:r>
          </w:p>
        </w:tc>
        <w:tc>
          <w:p>
            <w:pPr>
              <w:pStyle w:val="Compact"/>
              <w:jc w:val="center"/>
            </w:pPr>
            <w:r>
              <w:t xml:space="preserve">237,0</w:t>
            </w:r>
          </w:p>
        </w:tc>
        <w:tc>
          <w:p>
            <w:pPr>
              <w:pStyle w:val="Compact"/>
              <w:jc w:val="center"/>
            </w:pPr>
            <w:r>
              <w:t xml:space="preserve">260,0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fonctionnaires (b)</w:t>
            </w:r>
          </w:p>
        </w:tc>
        <w:tc>
          <w:p>
            <w:pPr>
              <w:pStyle w:val="Compact"/>
              <w:jc w:val="center"/>
            </w:pPr>
            <w:r>
              <w:t xml:space="preserve">150,0</w:t>
            </w:r>
          </w:p>
        </w:tc>
        <w:tc>
          <w:p>
            <w:pPr>
              <w:pStyle w:val="Compact"/>
              <w:jc w:val="center"/>
            </w:pPr>
            <w:r>
              <w:t xml:space="preserve">163,0</w:t>
            </w:r>
          </w:p>
        </w:tc>
        <w:tc>
          <w:p>
            <w:pPr>
              <w:pStyle w:val="Compact"/>
              <w:jc w:val="center"/>
            </w:pPr>
            <w:r>
              <w:t xml:space="preserve">171,0</w:t>
            </w:r>
          </w:p>
        </w:tc>
        <w:tc>
          <w:p>
            <w:pPr>
              <w:pStyle w:val="Compact"/>
              <w:jc w:val="center"/>
            </w:pPr>
            <w:r>
              <w:t xml:space="preserve">179,0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fonct. présents 12 mois</w:t>
            </w:r>
          </w:p>
        </w:tc>
        <w:tc>
          <w:p>
            <w:pPr>
              <w:pStyle w:val="Compact"/>
              <w:jc w:val="center"/>
            </w:pPr>
            <w:r>
              <w:t xml:space="preserve">137,0</w:t>
            </w:r>
          </w:p>
        </w:tc>
        <w:tc>
          <w:p>
            <w:pPr>
              <w:pStyle w:val="Compact"/>
              <w:jc w:val="center"/>
            </w:pPr>
            <w:r>
              <w:t xml:space="preserve">146,0</w:t>
            </w:r>
          </w:p>
        </w:tc>
        <w:tc>
          <w:p>
            <w:pPr>
              <w:pStyle w:val="Compact"/>
              <w:jc w:val="center"/>
            </w:pPr>
            <w:r>
              <w:t xml:space="preserve">154,0</w:t>
            </w:r>
          </w:p>
        </w:tc>
        <w:tc>
          <w:p>
            <w:pPr>
              <w:pStyle w:val="Compact"/>
              <w:jc w:val="center"/>
            </w:pPr>
            <w:r>
              <w:t xml:space="preserve">165,0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non titulaires</w:t>
            </w:r>
          </w:p>
        </w:tc>
        <w:tc>
          <w:p>
            <w:pPr>
              <w:pStyle w:val="Compact"/>
              <w:jc w:val="center"/>
            </w:pPr>
            <w:r>
              <w:t xml:space="preserve">64,0</w:t>
            </w:r>
          </w:p>
        </w:tc>
        <w:tc>
          <w:p>
            <w:pPr>
              <w:pStyle w:val="Compact"/>
              <w:jc w:val="center"/>
            </w:pPr>
            <w:r>
              <w:t xml:space="preserve">61,0</w:t>
            </w:r>
          </w:p>
        </w:tc>
        <w:tc>
          <w:p>
            <w:pPr>
              <w:pStyle w:val="Compact"/>
              <w:jc w:val="center"/>
            </w:pPr>
            <w:r>
              <w:t xml:space="preserve">83,0</w:t>
            </w:r>
          </w:p>
        </w:tc>
        <w:tc>
          <w:p>
            <w:pPr>
              <w:pStyle w:val="Compact"/>
              <w:jc w:val="center"/>
            </w:pPr>
            <w:r>
              <w:t xml:space="preserve">80,0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élus</w:t>
            </w:r>
          </w:p>
        </w:tc>
        <w:tc>
          <w:p>
            <w:pPr>
              <w:pStyle w:val="Compact"/>
              <w:jc w:val="center"/>
            </w:pPr>
            <w:r>
              <w:t xml:space="preserve">17,0</w:t>
            </w:r>
          </w:p>
        </w:tc>
        <w:tc>
          <w:p>
            <w:pPr>
              <w:pStyle w:val="Compact"/>
              <w:jc w:val="center"/>
            </w:pPr>
            <w:r>
              <w:t xml:space="preserve">17,0</w:t>
            </w:r>
          </w:p>
        </w:tc>
        <w:tc>
          <w:p>
            <w:pPr>
              <w:pStyle w:val="Compact"/>
              <w:jc w:val="center"/>
            </w:pPr>
            <w:r>
              <w:t xml:space="preserve">17,0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élus présents 12 mois</w:t>
            </w:r>
          </w:p>
        </w:tc>
        <w:tc>
          <w:p>
            <w:pPr>
              <w:pStyle w:val="Compact"/>
              <w:jc w:val="center"/>
            </w:pPr>
            <w:r>
              <w:t xml:space="preserve">17,0</w:t>
            </w:r>
          </w:p>
        </w:tc>
        <w:tc>
          <w:p>
            <w:pPr>
              <w:pStyle w:val="Compact"/>
              <w:jc w:val="center"/>
            </w:pPr>
            <w:r>
              <w:t xml:space="preserve">17,0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vacataires détectés (c)</w:t>
            </w:r>
          </w:p>
        </w:tc>
        <w:tc>
          <w:p>
            <w:pPr>
              <w:pStyle w:val="Compact"/>
              <w:jc w:val="center"/>
            </w:pPr>
            <w:r>
              <w:t xml:space="preserve">33,0</w:t>
            </w:r>
          </w:p>
        </w:tc>
        <w:tc>
          <w:p>
            <w:pPr>
              <w:pStyle w:val="Compact"/>
              <w:jc w:val="center"/>
            </w:pPr>
            <w:r>
              <w:t xml:space="preserve">34,0</w:t>
            </w:r>
          </w:p>
        </w:tc>
        <w:tc>
          <w:p>
            <w:pPr>
              <w:pStyle w:val="Compact"/>
              <w:jc w:val="center"/>
            </w:pPr>
            <w:r>
              <w:t xml:space="preserve">40,0</w:t>
            </w:r>
          </w:p>
        </w:tc>
        <w:tc>
          <w:p>
            <w:pPr>
              <w:pStyle w:val="Compact"/>
              <w:jc w:val="center"/>
            </w:pPr>
            <w:r>
              <w:t xml:space="preserve">56,0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assistantes maternelles détectées (c)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13,0</w:t>
            </w:r>
          </w:p>
        </w:tc>
        <w:tc>
          <w:p>
            <w:pPr>
              <w:pStyle w:val="Compact"/>
              <w:jc w:val="center"/>
            </w:pPr>
            <w:r>
              <w:t xml:space="preserve">15,0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Postes non actifs (g)</w:t>
            </w:r>
          </w:p>
        </w:tc>
        <w:tc>
          <w:p>
            <w:pPr>
              <w:pStyle w:val="Compact"/>
              <w:jc w:val="center"/>
            </w:pPr>
            <w:r>
              <w:t xml:space="preserve">42,0</w:t>
            </w:r>
          </w:p>
        </w:tc>
        <w:tc>
          <w:p>
            <w:pPr>
              <w:pStyle w:val="Compact"/>
              <w:jc w:val="center"/>
            </w:pPr>
            <w:r>
              <w:t xml:space="preserve">77,0</w:t>
            </w:r>
          </w:p>
        </w:tc>
        <w:tc>
          <w:p>
            <w:pPr>
              <w:pStyle w:val="Compact"/>
              <w:jc w:val="center"/>
            </w:pPr>
            <w:r>
              <w:t xml:space="preserve">66,0</w:t>
            </w:r>
          </w:p>
        </w:tc>
        <w:tc>
          <w:p>
            <w:pPr>
              <w:pStyle w:val="Compact"/>
              <w:jc w:val="center"/>
            </w:pPr>
            <w:r>
              <w:t xml:space="preserve">83,0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Postes annexes (g)</w:t>
            </w:r>
          </w:p>
        </w:tc>
        <w:tc>
          <w:p>
            <w:pPr>
              <w:pStyle w:val="Compact"/>
              <w:jc w:val="center"/>
            </w:pPr>
            <w:r>
              <w:t xml:space="preserve">148,0</w:t>
            </w:r>
          </w:p>
        </w:tc>
        <w:tc>
          <w:p>
            <w:pPr>
              <w:pStyle w:val="Compact"/>
              <w:jc w:val="center"/>
            </w:pPr>
            <w:r>
              <w:t xml:space="preserve">160,0</w:t>
            </w:r>
          </w:p>
        </w:tc>
        <w:tc>
          <w:p>
            <w:pPr>
              <w:pStyle w:val="Compact"/>
              <w:jc w:val="center"/>
            </w:pPr>
            <w:r>
              <w:t xml:space="preserve">139,0</w:t>
            </w:r>
          </w:p>
        </w:tc>
        <w:tc>
          <w:p>
            <w:pPr>
              <w:pStyle w:val="Compact"/>
              <w:jc w:val="center"/>
            </w:pPr>
            <w:r>
              <w:t xml:space="preserve">182,0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Postes actifs non annexes (g)</w:t>
            </w:r>
          </w:p>
        </w:tc>
        <w:tc>
          <w:p>
            <w:pPr>
              <w:pStyle w:val="Compact"/>
              <w:jc w:val="center"/>
            </w:pPr>
            <w:r>
              <w:t xml:space="preserve">221,0</w:t>
            </w:r>
          </w:p>
        </w:tc>
        <w:tc>
          <w:p>
            <w:pPr>
              <w:pStyle w:val="Compact"/>
              <w:jc w:val="center"/>
            </w:pPr>
            <w:r>
              <w:t xml:space="preserve">214,0</w:t>
            </w:r>
          </w:p>
        </w:tc>
        <w:tc>
          <w:p>
            <w:pPr>
              <w:pStyle w:val="Compact"/>
              <w:jc w:val="center"/>
            </w:pPr>
            <w:r>
              <w:t xml:space="preserve">251,0</w:t>
            </w:r>
          </w:p>
        </w:tc>
        <w:tc>
          <w:p>
            <w:pPr>
              <w:pStyle w:val="Compact"/>
              <w:jc w:val="center"/>
            </w:pPr>
            <w:r>
              <w:t xml:space="preserve">252,0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ETP/année (d)</w:t>
            </w:r>
          </w:p>
        </w:tc>
        <w:tc>
          <w:p>
            <w:pPr>
              <w:pStyle w:val="Compact"/>
              <w:jc w:val="center"/>
            </w:pPr>
            <w:r>
              <w:t xml:space="preserve">254,9</w:t>
            </w:r>
          </w:p>
        </w:tc>
        <w:tc>
          <w:p>
            <w:pPr>
              <w:pStyle w:val="Compact"/>
              <w:jc w:val="center"/>
            </w:pPr>
            <w:r>
              <w:t xml:space="preserve">221,0</w:t>
            </w:r>
          </w:p>
        </w:tc>
        <w:tc>
          <w:p>
            <w:pPr>
              <w:pStyle w:val="Compact"/>
              <w:jc w:val="center"/>
            </w:pPr>
            <w:r>
              <w:t xml:space="preserve">252,3</w:t>
            </w:r>
          </w:p>
        </w:tc>
        <w:tc>
          <w:p>
            <w:pPr>
              <w:pStyle w:val="Compact"/>
              <w:jc w:val="center"/>
            </w:pPr>
            <w:r>
              <w:t xml:space="preserve">266,1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(e)</w:t>
            </w:r>
          </w:p>
        </w:tc>
        <w:tc>
          <w:p>
            <w:pPr>
              <w:pStyle w:val="Compact"/>
              <w:jc w:val="center"/>
            </w:pPr>
            <w:r>
              <w:t xml:space="preserve">211,0</w:t>
            </w:r>
          </w:p>
        </w:tc>
        <w:tc>
          <w:p>
            <w:pPr>
              <w:pStyle w:val="Compact"/>
              <w:jc w:val="center"/>
            </w:pPr>
            <w:r>
              <w:t xml:space="preserve">183,2</w:t>
            </w:r>
          </w:p>
        </w:tc>
        <w:tc>
          <w:p>
            <w:pPr>
              <w:pStyle w:val="Compact"/>
              <w:jc w:val="center"/>
            </w:pPr>
            <w:r>
              <w:t xml:space="preserve">219,4</w:t>
            </w:r>
          </w:p>
        </w:tc>
        <w:tc>
          <w:p>
            <w:pPr>
              <w:pStyle w:val="Compact"/>
              <w:jc w:val="center"/>
            </w:pPr>
            <w:r>
              <w:t xml:space="preserve">224,5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personnes en place (f)(g)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125,6</w:t>
            </w:r>
          </w:p>
        </w:tc>
        <w:tc>
          <w:p>
            <w:pPr>
              <w:pStyle w:val="Compact"/>
              <w:jc w:val="center"/>
            </w:pPr>
            <w:r>
              <w:t xml:space="preserve">142,9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fonctionnaires (g)</w:t>
            </w:r>
          </w:p>
        </w:tc>
        <w:tc>
          <w:p>
            <w:pPr>
              <w:pStyle w:val="Compact"/>
              <w:jc w:val="center"/>
            </w:pPr>
            <w:r>
              <w:t xml:space="preserve">126,4</w:t>
            </w:r>
          </w:p>
        </w:tc>
        <w:tc>
          <w:p>
            <w:pPr>
              <w:pStyle w:val="Compact"/>
              <w:jc w:val="center"/>
            </w:pPr>
            <w:r>
              <w:t xml:space="preserve">131,2</w:t>
            </w:r>
          </w:p>
        </w:tc>
        <w:tc>
          <w:p>
            <w:pPr>
              <w:pStyle w:val="Compact"/>
              <w:jc w:val="center"/>
            </w:pPr>
            <w:r>
              <w:t xml:space="preserve">141,8</w:t>
            </w:r>
          </w:p>
        </w:tc>
        <w:tc>
          <w:p>
            <w:pPr>
              <w:pStyle w:val="Compact"/>
              <w:jc w:val="center"/>
            </w:pPr>
            <w:r>
              <w:t xml:space="preserve">142,0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titulaires à temps complet (g)</w:t>
            </w:r>
          </w:p>
        </w:tc>
        <w:tc>
          <w:p>
            <w:pPr>
              <w:pStyle w:val="Compact"/>
              <w:jc w:val="center"/>
            </w:pPr>
            <w:r>
              <w:t xml:space="preserve">86,0</w:t>
            </w:r>
          </w:p>
        </w:tc>
        <w:tc>
          <w:p>
            <w:pPr>
              <w:pStyle w:val="Compact"/>
              <w:jc w:val="center"/>
            </w:pPr>
            <w:r>
              <w:t xml:space="preserve">82,5</w:t>
            </w:r>
          </w:p>
        </w:tc>
        <w:tc>
          <w:p>
            <w:pPr>
              <w:pStyle w:val="Compact"/>
              <w:jc w:val="center"/>
            </w:pPr>
            <w:r>
              <w:t xml:space="preserve">82,5</w:t>
            </w:r>
          </w:p>
        </w:tc>
        <w:tc>
          <w:p>
            <w:pPr>
              <w:pStyle w:val="Compact"/>
              <w:jc w:val="center"/>
            </w:pPr>
            <w:r>
              <w:t xml:space="preserve">85,0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 non titulaires (g)</w:t>
            </w:r>
          </w:p>
        </w:tc>
        <w:tc>
          <w:p>
            <w:pPr>
              <w:pStyle w:val="Compact"/>
              <w:jc w:val="center"/>
            </w:pPr>
            <w:r>
              <w:t xml:space="preserve">47,1</w:t>
            </w:r>
          </w:p>
        </w:tc>
        <w:tc>
          <w:p>
            <w:pPr>
              <w:pStyle w:val="Compact"/>
              <w:jc w:val="center"/>
            </w:pPr>
            <w:r>
              <w:t xml:space="preserve">35,4</w:t>
            </w:r>
          </w:p>
        </w:tc>
        <w:tc>
          <w:p>
            <w:pPr>
              <w:pStyle w:val="Compact"/>
              <w:jc w:val="center"/>
            </w:pPr>
            <w:r>
              <w:t xml:space="preserve">55,4</w:t>
            </w:r>
          </w:p>
        </w:tc>
        <w:tc>
          <w:p>
            <w:pPr>
              <w:pStyle w:val="Compact"/>
              <w:jc w:val="center"/>
            </w:pPr>
            <w:r>
              <w:t xml:space="preserve">57,7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 autre statut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1,5</w:t>
            </w:r>
          </w:p>
        </w:tc>
        <w:tc>
          <w:p>
            <w:pPr>
              <w:pStyle w:val="Compact"/>
              <w:jc w:val="center"/>
            </w:pPr>
            <w:r>
              <w:t xml:space="preserve">3,2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 postes non actifs (g)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 postes annexes (g)</w:t>
            </w:r>
          </w:p>
        </w:tc>
        <w:tc>
          <w:p>
            <w:pPr>
              <w:pStyle w:val="Compact"/>
              <w:jc w:val="center"/>
            </w:pPr>
            <w:r>
              <w:t xml:space="preserve">24,4</w:t>
            </w:r>
          </w:p>
        </w:tc>
        <w:tc>
          <w:p>
            <w:pPr>
              <w:pStyle w:val="Compact"/>
              <w:jc w:val="center"/>
            </w:pPr>
            <w:r>
              <w:t xml:space="preserve">13,1</w:t>
            </w:r>
          </w:p>
        </w:tc>
        <w:tc>
          <w:p>
            <w:pPr>
              <w:pStyle w:val="Compact"/>
              <w:jc w:val="center"/>
            </w:pPr>
            <w:r>
              <w:t xml:space="preserve">14,4</w:t>
            </w:r>
          </w:p>
        </w:tc>
        <w:tc>
          <w:p>
            <w:pPr>
              <w:pStyle w:val="Compact"/>
              <w:jc w:val="center"/>
            </w:pPr>
            <w:r>
              <w:t xml:space="preserve">13,2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 postes actifs non annexes (g)</w:t>
            </w:r>
          </w:p>
        </w:tc>
        <w:tc>
          <w:p>
            <w:pPr>
              <w:pStyle w:val="Compact"/>
              <w:jc w:val="center"/>
            </w:pPr>
            <w:r>
              <w:t xml:space="preserve">186,6</w:t>
            </w:r>
          </w:p>
        </w:tc>
        <w:tc>
          <w:p>
            <w:pPr>
              <w:pStyle w:val="Compact"/>
              <w:jc w:val="center"/>
            </w:pPr>
            <w:r>
              <w:t xml:space="preserve">170,1</w:t>
            </w:r>
          </w:p>
        </w:tc>
        <w:tc>
          <w:p>
            <w:pPr>
              <w:pStyle w:val="Compact"/>
              <w:jc w:val="center"/>
            </w:pPr>
            <w:r>
              <w:t xml:space="preserve">205,1</w:t>
            </w:r>
          </w:p>
        </w:tc>
        <w:tc>
          <w:p>
            <w:pPr>
              <w:pStyle w:val="Compact"/>
              <w:jc w:val="center"/>
            </w:pPr>
            <w:r>
              <w:t xml:space="preserve">211,3</w:t>
            </w:r>
          </w:p>
        </w:tc>
      </w:tr>
    </w:tbl>
    <w:p>
      <w:r>
        <w:rPr>
          <w:b/>
        </w:rPr>
        <w:t xml:space="preserve">Nota:</w:t>
      </w:r>
      <w:r>
        <w:br w:type="textWrapping"/>
      </w:r>
      <w:r>
        <w:rPr>
          <w:i/>
        </w:rPr>
        <w:t xml:space="preserve">(a) Nombre de matricules distincts ayant eu au moins un bulletin de paie dans l'année, en fonction ou non.Peut correspondre à des régularisations, des personnels hors position d'activité ou des ayants droit (reversion, etc.)</w:t>
      </w:r>
      <w:r>
        <w:br w:type="textWrapping"/>
      </w:r>
      <w:r>
        <w:rPr>
          <w:i/>
        </w:rPr>
        <w:t xml:space="preserve">(b) Titulaires ou stagiaires</w:t>
      </w:r>
      <w:r>
        <w:br w:type="textWrapping"/>
      </w:r>
      <w:r>
        <w:rPr>
          <w:i/>
        </w:rPr>
        <w:t xml:space="preserve">(c) Sur la base des libellés d'emploi et des libellés de lignes de paie. La détection peut être lacunaire</w:t>
      </w:r>
      <w:r>
        <w:br w:type="textWrapping"/>
      </w:r>
      <w:r>
        <w:rPr>
          <w:i/>
        </w:rPr>
        <w:t xml:space="preserve">(d) ETP : Equivalent temps plein = rémunération . quotité</w:t>
      </w:r>
      <w:r>
        <w:br w:type="textWrapping"/>
      </w:r>
      <w:r>
        <w:rPr>
          <w:i/>
        </w:rPr>
        <w:t xml:space="preserve">(e) ETPT : Equivalent temps plein travaillé = ETP . 12/nombre de mois travaillés dans l'année</w:t>
      </w:r>
      <w:r>
        <w:br w:type="textWrapping"/>
      </w:r>
      <w:r>
        <w:rPr>
          <w:i/>
        </w:rPr>
        <w:t xml:space="preserve">(f) Personnes en place : présentes en N et N-1 avec la même quotité, postes actifs et non annexes uniquement.</w:t>
      </w:r>
      <w:r>
        <w:br w:type="textWrapping"/>
      </w:r>
      <w:r>
        <w:rPr>
          <w:i/>
        </w:rPr>
        <w:t xml:space="preserve">(g) Postes actifs et non annexes :</w:t>
      </w:r>
      <w:r>
        <w:t xml:space="preserve"> </w:t>
      </w:r>
      <w:r>
        <w:t xml:space="preserve">voir</w:t>
      </w:r>
      <w:r>
        <w:t xml:space="preserve"> </w:t>
      </w:r>
      <w:hyperlink r:id="rId25">
        <w:r>
          <w:rPr>
            <w:rStyle w:val="Link"/>
          </w:rPr>
          <w:t xml:space="preserve">Compléments méthodologiques</w:t>
        </w:r>
      </w:hyperlink>
      <w:r>
        <w:br w:type="textWrapping"/>
      </w:r>
      <w:r>
        <w:rPr>
          <w:i/>
        </w:rPr>
        <w:t xml:space="preserve">   Un poste actif est défini par au moins un bulletin de paie comportant un traitement positif pour un volume d'heures de travail mensuel non nul.</w:t>
      </w:r>
      <w:r>
        <w:br w:type="textWrapping"/>
      </w:r>
      <w:r>
        <w:rPr>
          <w:i/>
        </w:rPr>
        <w:t xml:space="preserve">   Un poste non annexe est défini comme la conjonction de critères horaires et de revenu sur une année. La période minimale de référence est le mois.</w:t>
      </w:r>
      <w:r>
        <w:br w:type="textWrapping"/>
      </w:r>
      <w:r>
        <w:rPr>
          <w:i/>
        </w:rPr>
        <w:t xml:space="preserve">Les dix dernières lignes du tableau sont calculées en ne tenant pas compte des élus.</w:t>
      </w:r>
    </w:p>
    <w:p>
      <w:hyperlink r:id="rId26">
        <w:r>
          <w:rPr>
            <w:rStyle w:val="Link"/>
          </w:rPr>
          <w:t xml:space="preserve">Lien vers la base des effectifs</w:t>
        </w:r>
      </w:hyperlink>
    </w:p>
    <w:p>
      <w:pPr>
        <w:pStyle w:val="Heading3"/>
      </w:pPr>
      <w:bookmarkStart w:id="27" w:name="pyramide-des-ages-personnels-non-elus"/>
      <w:bookmarkEnd w:id="27"/>
      <w:r>
        <w:t xml:space="preserve">1.2 Pyramide des âges, personnels non élus</w:t>
      </w:r>
    </w:p>
    <w:p>
      <w:r>
        <w:t xml:space="preserve"> </w:t>
      </w:r>
      <w:r>
        <w:rPr>
          <w:i/>
        </w:rPr>
        <w:t xml:space="preserve">Tableau 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43,2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 </w:t>
      </w:r>
      <w:r>
        <w:rPr>
          <w:i/>
        </w:rPr>
        <w:t xml:space="preserve">Tableau 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43,97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pyramide-des-ages-personnels-non-titulaires"/>
      <w:bookmarkEnd w:id="30"/>
      <w:r>
        <w:t xml:space="preserve">1.3 Pyramide des âges, personnels non titulaires</w:t>
      </w:r>
    </w:p>
    <w:p>
      <w:r>
        <w:t xml:space="preserve"> </w:t>
      </w:r>
      <w:r>
        <w:rPr>
          <w:i/>
        </w:rPr>
        <w:t xml:space="preserve">Tableau 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 non titulaires</w:t>
            </w:r>
            <w:r>
              <w:t xml:space="preserve">au 31/12/2010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44,13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 </w:t>
      </w:r>
      <w:r>
        <w:rPr>
          <w:i/>
        </w:rPr>
        <w:t xml:space="preserve">Tableau 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 non titulaires</w:t>
            </w:r>
            <w:r>
              <w:t xml:space="preserve">au 31/12/2013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43,81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33">
        <w:r>
          <w:rPr>
            <w:rStyle w:val="Link"/>
          </w:rPr>
          <w:t xml:space="preserve">Lien vers la base des âges</w:t>
        </w:r>
      </w:hyperlink>
    </w:p>
    <w:p>
      <w:pPr>
        <w:pStyle w:val="Heading3"/>
      </w:pPr>
      <w:bookmarkStart w:id="34" w:name="pyramide-des-ages-personnels-fonctionnaires-stagiaires-et-titulaires"/>
      <w:bookmarkEnd w:id="34"/>
      <w:r>
        <w:t xml:space="preserve">1.4 Pyramide des âges, personnels fonctionnaires stagiaires et titulaires</w:t>
      </w:r>
    </w:p>
    <w:p>
      <w:r>
        <w:t xml:space="preserve"> </w:t>
      </w:r>
      <w:r>
        <w:rPr>
          <w:i/>
        </w:rPr>
        <w:t xml:space="preserve">Tableau 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42,47</w:t>
            </w:r>
          </w:p>
        </w:tc>
        <w:tc>
          <w:p>
            <w:pPr>
              <w:pStyle w:val="Compact"/>
              <w:jc w:val="center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 </w:t>
      </w:r>
      <w:r>
        <w:rPr>
          <w:i/>
        </w:rPr>
        <w:t xml:space="preserve">Tableau 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44,59</w:t>
            </w:r>
          </w:p>
        </w:tc>
        <w:tc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37">
        <w:r>
          <w:rPr>
            <w:rStyle w:val="Link"/>
          </w:rPr>
          <w:t xml:space="preserve">Lien vers la base des âges</w:t>
        </w:r>
      </w:hyperlink>
    </w:p>
    <w:p>
      <w:pPr>
        <w:pStyle w:val="Heading3"/>
      </w:pPr>
      <w:bookmarkStart w:id="38" w:name="pyramide-des-ages-personnels-permanents-titulaires-stagiaires-et-non-titulaires"/>
      <w:bookmarkEnd w:id="38"/>
      <w:r>
        <w:t xml:space="preserve">1.5 Pyramide des âges, personnels permanents (titulaires, stagiaires et non titulaires)</w:t>
      </w:r>
    </w:p>
    <w:p>
      <w:r>
        <w:t xml:space="preserve"> </w:t>
      </w:r>
      <w:r>
        <w:rPr>
          <w:i/>
        </w:rPr>
        <w:t xml:space="preserve">Tableau 8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43,2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 </w:t>
      </w:r>
      <w:r>
        <w:rPr>
          <w:i/>
        </w:rPr>
        <w:t xml:space="preserve">Tableau 9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44,28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41">
        <w:r>
          <w:rPr>
            <w:rStyle w:val="Link"/>
          </w:rPr>
          <w:t xml:space="preserve">Lien vers la base des âges</w:t>
        </w:r>
      </w:hyperlink>
    </w:p>
    <w:p>
      <w:pPr>
        <w:pStyle w:val="Heading3"/>
      </w:pPr>
      <w:bookmarkStart w:id="42" w:name="effectifs-des-personnels-par-duree-de-service"/>
      <w:bookmarkEnd w:id="42"/>
      <w:r>
        <w:t xml:space="preserve">1.6 Effectifs des personnels par durée de service</w:t>
      </w:r>
    </w:p>
    <w:p>
      <w:r>
        <w:rPr>
          <w:b/>
        </w:rPr>
        <w:t xml:space="preserve">Personnels en fonction (hors élus) des exercices 2010 à 2013 inclus :</w:t>
      </w:r>
    </w:p>
    <w:p>
      <w:r>
        <w:t xml:space="preserve"> </w:t>
      </w:r>
      <w:r>
        <w:rPr>
          <w:i/>
        </w:rPr>
        <w:t xml:space="preserve">Tableau 10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Plus de 2 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de 2 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d'un 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de six mois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194</w:t>
            </w:r>
          </w:p>
        </w:tc>
        <w:tc>
          <w:p>
            <w:pPr>
              <w:pStyle w:val="Compact"/>
              <w:jc w:val="center"/>
            </w:pPr>
            <w:r>
              <w:t xml:space="preserve">330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</w:tr>
    </w:tbl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Effectifs (hors élus)</w:t>
      </w:r>
    </w:p>
    <w:p>
      <w:r>
        <w:t xml:space="preserve"> </w:t>
      </w:r>
      <w:r>
        <w:rPr>
          <w:i/>
        </w:rPr>
        <w:t xml:space="preserve">Tableau 11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Plus de deux ans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177</w:t>
            </w:r>
          </w:p>
        </w:tc>
        <w:tc>
          <w:p>
            <w:pPr>
              <w:pStyle w:val="Compact"/>
              <w:jc w:val="center"/>
            </w:pPr>
            <w:r>
              <w:t xml:space="preserve">194</w:t>
            </w:r>
          </w:p>
        </w:tc>
        <w:tc>
          <w:p>
            <w:pPr>
              <w:pStyle w:val="Compact"/>
              <w:jc w:val="center"/>
            </w:pPr>
            <w:r>
              <w:t xml:space="preserve">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Moins de deux ans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center"/>
            </w:pPr>
            <w:r>
              <w:t xml:space="preserve">214</w:t>
            </w:r>
          </w:p>
        </w:tc>
        <w:tc>
          <w:p>
            <w:pPr>
              <w:pStyle w:val="Compact"/>
              <w:jc w:val="center"/>
            </w:pPr>
            <w:r>
              <w:t xml:space="preserve">249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</w:tr>
    </w:tbl>
    <w:p>
      <w:r>
        <w:rPr>
          <w:b/>
        </w:rPr>
        <w:t xml:space="preserve">Nota :</w:t>
      </w:r>
      <w:r>
        <w:t xml:space="preserve"> </w:t>
      </w:r>
      <w:r>
        <w:rPr>
          <w:i/>
        </w:rPr>
        <w:t xml:space="preserve">Personnels en place : ayant servi au moins deux années consécutives pendant la période.</w:t>
      </w:r>
      <w:r>
        <w:br w:type="textWrapping"/>
      </w:r>
      <w:r>
        <w:rPr>
          <w:i/>
        </w:rPr>
        <w:t xml:space="preserve">Plus/moins de deux ans : plus/mois de 730 jours sur la période sous revue.</w:t>
      </w:r>
    </w:p>
    <w:p>
      <w:pPr>
        <w:pStyle w:val="Heading1"/>
      </w:pPr>
      <w:bookmarkStart w:id="44" w:name="remunerations-brutes-analyse-pour-lexercice-2010"/>
      <w:bookmarkEnd w:id="44"/>
      <w:r>
        <w:t xml:space="preserve">2. Rémunérations brutes : analyse pour l'exercice 2010</w:t>
      </w:r>
    </w:p>
    <w:p>
      <w:pPr>
        <w:pStyle w:val="Heading2"/>
      </w:pPr>
      <w:bookmarkStart w:id="45" w:name="masse-salariale-brute-de-lensemble-des-agents"/>
      <w:bookmarkEnd w:id="45"/>
      <w:r>
        <w:t xml:space="preserve">2.1 Masse salariale brute de l'ensemble des agents</w:t>
      </w:r>
    </w:p>
    <w:p>
      <w:pPr>
        <w:pStyle w:val="Heading3"/>
      </w:pPr>
      <w:bookmarkStart w:id="46" w:name="cumuls-des-remunerations-brutes-pour-lexercice-2010"/>
      <w:bookmarkEnd w:id="46"/>
      <w:r>
        <w:t xml:space="preserve">Cumuls des rémunérations brutes pour l'exercice 2010</w:t>
      </w:r>
    </w:p>
    <w:p>
      <w:r>
        <w:rPr>
          <w:i/>
        </w:rPr>
        <w:t xml:space="preserve">Personnels (hors élus)</w:t>
      </w:r>
    </w:p>
    <w:p>
      <w:r>
        <w:t xml:space="preserve"> </w:t>
      </w:r>
      <w:r>
        <w:rPr>
          <w:i/>
        </w:rPr>
        <w:t xml:space="preserve">Tableau 12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left"/>
            </w:pPr>
            <w:r>
              <w:t xml:space="preserve">5 307 936,4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left"/>
            </w:pPr>
            <w:r>
              <w:t xml:space="preserve">10 487 978,7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Primes :</w:t>
            </w:r>
          </w:p>
        </w:tc>
        <w:tc>
          <w:p>
            <w:pPr>
              <w:pStyle w:val="Compact"/>
              <w:jc w:val="left"/>
            </w:pPr>
            <w:r>
              <w:t xml:space="preserve">1 028 260,9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left"/>
            </w:pPr>
            <w:r>
              <w:t xml:space="preserve">53 175,2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left"/>
            </w:pPr>
            <w:r>
              <w:t xml:space="preserve">19,4</w:t>
            </w:r>
          </w:p>
        </w:tc>
      </w:tr>
    </w:tbl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13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Bulletins de paie</w:t>
            </w:r>
          </w:p>
        </w:tc>
        <w:tc>
          <w:p>
            <w:pPr>
              <w:pStyle w:val="Compact"/>
              <w:jc w:val="left"/>
            </w:pPr>
            <w:r>
              <w:t xml:space="preserve">5 307 936,4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Lignes de paie</w:t>
            </w:r>
          </w:p>
        </w:tc>
        <w:tc>
          <w:p>
            <w:pPr>
              <w:pStyle w:val="Compact"/>
              <w:jc w:val="left"/>
            </w:pPr>
            <w:r>
              <w:t xml:space="preserve">10 487 978,7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Différence</w:t>
            </w:r>
          </w:p>
        </w:tc>
        <w:tc>
          <w:p>
            <w:pPr>
              <w:pStyle w:val="Compact"/>
              <w:jc w:val="left"/>
            </w:pPr>
            <w:r>
              <w:t xml:space="preserve">-5 180 042,3</w:t>
            </w:r>
          </w:p>
        </w:tc>
      </w:tr>
    </w:tbl>
    <w:p>
      <w:r>
        <w:t xml:space="preserve">à comparer aux soldes des comptes 641 et 648 du compte de gestion.</w:t>
      </w:r>
    </w:p>
    <w:p>
      <w:pPr>
        <w:pStyle w:val="Heading2"/>
      </w:pPr>
      <w:bookmarkStart w:id="47" w:name="masse-salariale-brute-des-fonctionnaires"/>
      <w:bookmarkEnd w:id="47"/>
      <w:r>
        <w:t xml:space="preserve">2.2 Masse salariale brute des fonctionnaires</w:t>
      </w:r>
    </w:p>
    <w:p>
      <w:r>
        <w:rPr>
          <w:i/>
        </w:rPr>
        <w:t xml:space="preserve">Cette section concerne les personnels fonctionnaires titulaires et stagiaires</w:t>
      </w:r>
    </w:p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3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3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3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3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3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br w:type="textWrapping"/>
      </w:r>
      <w:r>
        <w:rPr>
          <w:i/>
        </w:rPr>
        <w:t xml:space="preserve">EQTP : Equivalent temps plein = 12 . moyenne du ratio ratio rémunération / quotité</w:t>
      </w:r>
    </w:p>
    <w:p>
      <w:r>
        <w:rPr>
          <w:b/>
        </w:rPr>
        <w:t xml:space="preserve">Effectif : 149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titulaires et stagiaires :</w:t>
      </w:r>
    </w:p>
    <w:p>
      <w:r>
        <w:t xml:space="preserve"> </w:t>
      </w:r>
      <w:r>
        <w:rPr>
          <w:i/>
        </w:rPr>
        <w:t xml:space="preserve">Tableau 14</w:t>
      </w:r>
    </w:p>
    <w:p>
      <w:pPr>
        <w:pStyle w:val="SourceCode"/>
      </w:pPr>
      <w:r>
        <w:rPr>
          <w:rStyle w:val="VerbatimChar"/>
        </w:rPr>
        <w:t xml:space="preserve">## Error in `[.data.table`(masses.premier, "Montant.brut.annuel"): When i is a data.table (or character vector), the columns to join by must be specified either using 'on=' argument (see ?data.table) or by keying x (i.e. sorted, and, marked as sorted, see ?setkey). Keyed joins might have further speed benefits on very large data due to x being sorted in RAM.</w:t>
      </w:r>
    </w:p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d'élus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15</w:t>
      </w:r>
    </w:p>
    <w:p>
      <w:pPr>
        <w:pStyle w:val="SourceCode"/>
      </w:pPr>
      <w:r>
        <w:rPr>
          <w:rStyle w:val="VerbatimChar"/>
        </w:rPr>
        <w:t xml:space="preserve">## Error in `[.data.table`(masses.premier, "Montant.brut.annuel"): When i is a data.table (or character vector), the columns to join by must be specified either using 'on=' argument (see ?data.table) or by keying x (i.e. sorted, and, marked as sorted, see ?setkey). Keyed joins might have further speed benefits on very large data due to x being sorted in RAM.</w:t>
      </w:r>
    </w:p>
    <w:p>
      <w:r>
        <w:t xml:space="preserve">A comparer aux soldes des comptes 6411, 6419 et 648 du compte de gestion.</w:t>
      </w:r>
    </w:p>
    <w:p>
      <w:r>
        <w:rPr>
          <w:b/>
        </w:rPr>
        <w:t xml:space="preserve">Formation et distribution du salaire brut moyen par tête (SMPT) en EQTP pour l'année 2010</w:t>
      </w:r>
    </w:p>
    <w:p>
      <w:r>
        <w:t xml:space="preserve"> </w:t>
      </w:r>
      <w:r>
        <w:rPr>
          <w:i/>
        </w:rPr>
        <w:t xml:space="preserve">Tableau 16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7 249</w:t>
            </w:r>
          </w:p>
        </w:tc>
        <w:tc>
          <w:p>
            <w:pPr>
              <w:pStyle w:val="Compact"/>
              <w:jc w:val="right"/>
            </w:pPr>
            <w:r>
              <w:t xml:space="preserve">567,2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35 888</w:t>
            </w:r>
          </w:p>
        </w:tc>
        <w:tc>
          <w:p>
            <w:pPr>
              <w:pStyle w:val="Compact"/>
              <w:jc w:val="right"/>
            </w:pPr>
            <w:r>
              <w:t xml:space="preserve">2 771,3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39 177</w:t>
            </w:r>
          </w:p>
        </w:tc>
        <w:tc>
          <w:p>
            <w:pPr>
              <w:pStyle w:val="Compact"/>
              <w:jc w:val="right"/>
            </w:pPr>
            <w:r>
              <w:t xml:space="preserve">3 791,3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43 141</w:t>
            </w:r>
          </w:p>
        </w:tc>
        <w:tc>
          <w:p>
            <w:pPr>
              <w:pStyle w:val="Compact"/>
              <w:jc w:val="right"/>
            </w:pPr>
            <w:r>
              <w:t xml:space="preserve">4 702,7</w:t>
            </w:r>
          </w:p>
        </w:tc>
        <w:tc>
          <w:p>
            <w:pPr>
              <w:pStyle w:val="Compact"/>
              <w:jc w:val="right"/>
            </w:pPr>
            <w:r>
              <w:t xml:space="preserve">229,2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48 885</w:t>
            </w:r>
          </w:p>
        </w:tc>
        <w:tc>
          <w:p>
            <w:pPr>
              <w:pStyle w:val="Compact"/>
              <w:jc w:val="right"/>
            </w:pPr>
            <w:r>
              <w:t xml:space="preserve">4 689,8</w:t>
            </w:r>
          </w:p>
        </w:tc>
        <w:tc>
          <w:p>
            <w:pPr>
              <w:pStyle w:val="Compact"/>
              <w:jc w:val="right"/>
            </w:pPr>
            <w:r>
              <w:t xml:space="preserve">141,6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155 501</w:t>
            </w:r>
          </w:p>
        </w:tc>
        <w:tc>
          <w:p>
            <w:pPr>
              <w:pStyle w:val="Compact"/>
              <w:jc w:val="right"/>
            </w:pPr>
            <w:r>
              <w:t xml:space="preserve">60 297,8</w:t>
            </w:r>
          </w:p>
        </w:tc>
        <w:tc>
          <w:p>
            <w:pPr>
              <w:pStyle w:val="Compact"/>
              <w:jc w:val="right"/>
            </w:pPr>
            <w:r>
              <w:t xml:space="preserve">2 748,0</w:t>
            </w:r>
          </w:p>
        </w:tc>
        <w:tc>
          <w:p>
            <w:pPr>
              <w:pStyle w:val="Compact"/>
            </w:pPr>
          </w:p>
        </w:tc>
      </w:tr>
    </w:tbl>
    <w:p>
      <w:r>
        <w:t xml:space="preserve"> </w:t>
      </w:r>
      <w:r>
        <w:rPr>
          <w:i/>
        </w:rPr>
        <w:t xml:space="preserve">Tableau 17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lignes hors rappels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brut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SMPT brut en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rém.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8 735</w:t>
            </w:r>
          </w:p>
        </w:tc>
        <w:tc>
          <w:p>
            <w:pPr>
              <w:pStyle w:val="Compact"/>
              <w:jc w:val="right"/>
            </w:pPr>
            <w:r>
              <w:t xml:space="preserve">4 379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4,744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38 820</w:t>
            </w:r>
          </w:p>
        </w:tc>
        <w:tc>
          <w:p>
            <w:pPr>
              <w:pStyle w:val="Compact"/>
              <w:jc w:val="right"/>
            </w:pPr>
            <w:r>
              <w:t xml:space="preserve">19 430</w:t>
            </w:r>
          </w:p>
        </w:tc>
        <w:tc>
          <w:p>
            <w:pPr>
              <w:pStyle w:val="Compact"/>
              <w:jc w:val="right"/>
            </w:pPr>
            <w:r>
              <w:t xml:space="preserve">20 489</w:t>
            </w:r>
          </w:p>
        </w:tc>
        <w:tc>
          <w:p>
            <w:pPr>
              <w:pStyle w:val="Compact"/>
              <w:jc w:val="right"/>
            </w:pPr>
            <w:r>
              <w:t xml:space="preserve">13,633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43 503</w:t>
            </w:r>
          </w:p>
        </w:tc>
        <w:tc>
          <w:p>
            <w:pPr>
              <w:pStyle w:val="Compact"/>
              <w:jc w:val="right"/>
            </w:pPr>
            <w:r>
              <w:t xml:space="preserve">21 751</w:t>
            </w:r>
          </w:p>
        </w:tc>
        <w:tc>
          <w:p>
            <w:pPr>
              <w:pStyle w:val="Compact"/>
              <w:jc w:val="right"/>
            </w:pPr>
            <w:r>
              <w:t xml:space="preserve">22 857</w:t>
            </w:r>
          </w:p>
        </w:tc>
        <w:tc>
          <w:p>
            <w:pPr>
              <w:pStyle w:val="Compact"/>
              <w:jc w:val="right"/>
            </w:pPr>
            <w:r>
              <w:t xml:space="preserve">17,401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47 863</w:t>
            </w:r>
          </w:p>
        </w:tc>
        <w:tc>
          <w:p>
            <w:pPr>
              <w:pStyle w:val="Compact"/>
              <w:jc w:val="right"/>
            </w:pPr>
            <w:r>
              <w:t xml:space="preserve">23 950</w:t>
            </w:r>
          </w:p>
        </w:tc>
        <w:tc>
          <w:p>
            <w:pPr>
              <w:pStyle w:val="Compact"/>
              <w:jc w:val="right"/>
            </w:pPr>
            <w:r>
              <w:t xml:space="preserve">25 227</w:t>
            </w:r>
          </w:p>
        </w:tc>
        <w:tc>
          <w:p>
            <w:pPr>
              <w:pStyle w:val="Compact"/>
              <w:jc w:val="right"/>
            </w:pPr>
            <w:r>
              <w:t xml:space="preserve">18,106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52 698</w:t>
            </w:r>
          </w:p>
        </w:tc>
        <w:tc>
          <w:p>
            <w:pPr>
              <w:pStyle w:val="Compact"/>
              <w:jc w:val="right"/>
            </w:pPr>
            <w:r>
              <w:t xml:space="preserve">26 349</w:t>
            </w:r>
          </w:p>
        </w:tc>
        <w:tc>
          <w:p>
            <w:pPr>
              <w:pStyle w:val="Compact"/>
              <w:jc w:val="right"/>
            </w:pPr>
            <w:r>
              <w:t xml:space="preserve">27 508</w:t>
            </w:r>
          </w:p>
        </w:tc>
        <w:tc>
          <w:p>
            <w:pPr>
              <w:pStyle w:val="Compact"/>
              <w:jc w:val="right"/>
            </w:pPr>
            <w:r>
              <w:t xml:space="preserve">20,969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218 547</w:t>
            </w:r>
          </w:p>
        </w:tc>
        <w:tc>
          <w:p>
            <w:pPr>
              <w:pStyle w:val="Compact"/>
              <w:jc w:val="right"/>
            </w:pPr>
            <w:r>
              <w:t xml:space="preserve">109 277</w:t>
            </w:r>
          </w:p>
        </w:tc>
        <w:tc>
          <w:p>
            <w:pPr>
              <w:pStyle w:val="Compact"/>
              <w:jc w:val="right"/>
            </w:pPr>
            <w:r>
              <w:t xml:space="preserve">109 277</w:t>
            </w:r>
          </w:p>
        </w:tc>
        <w:tc>
          <w:p>
            <w:pPr>
              <w:pStyle w:val="Compact"/>
              <w:jc w:val="right"/>
            </w:pPr>
            <w:r>
              <w:t xml:space="preserve">55,179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i/>
        </w:rPr>
        <w:t xml:space="preserve">Hors vacataires identifiés, assistantes maternelles, élus locaux et pour les postes actifs non annexes</w:t>
      </w:r>
    </w:p>
    <w:p>
      <w:r>
        <w:rPr>
          <w:b/>
        </w:rPr>
        <w:t xml:space="preserve">Catégorie A</w:t>
      </w:r>
    </w:p>
    <w:p>
      <w:r>
        <w:t xml:space="preserve"> </w:t>
      </w:r>
      <w:r>
        <w:rPr>
          <w:i/>
        </w:rPr>
        <w:t xml:space="preserve">Tableau 18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50 007</w:t>
            </w:r>
          </w:p>
        </w:tc>
        <w:tc>
          <w:p>
            <w:pPr>
              <w:pStyle w:val="Compact"/>
              <w:jc w:val="right"/>
            </w:pPr>
            <w:r>
              <w:t xml:space="preserve">2 160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65 824</w:t>
            </w:r>
          </w:p>
        </w:tc>
        <w:tc>
          <w:p>
            <w:pPr>
              <w:pStyle w:val="Compact"/>
              <w:jc w:val="right"/>
            </w:pPr>
            <w:r>
              <w:t xml:space="preserve">7 045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70 007</w:t>
            </w:r>
          </w:p>
        </w:tc>
        <w:tc>
          <w:p>
            <w:pPr>
              <w:pStyle w:val="Compact"/>
              <w:jc w:val="right"/>
            </w:pPr>
            <w:r>
              <w:t xml:space="preserve">8 501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76 348</w:t>
            </w:r>
          </w:p>
        </w:tc>
        <w:tc>
          <w:p>
            <w:pPr>
              <w:pStyle w:val="Compact"/>
              <w:jc w:val="right"/>
            </w:pPr>
            <w:r>
              <w:t xml:space="preserve">12 564</w:t>
            </w:r>
          </w:p>
        </w:tc>
        <w:tc>
          <w:p>
            <w:pPr>
              <w:pStyle w:val="Compact"/>
              <w:jc w:val="right"/>
            </w:pPr>
            <w:r>
              <w:t xml:space="preserve">183,2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79 517</w:t>
            </w:r>
          </w:p>
        </w:tc>
        <w:tc>
          <w:p>
            <w:pPr>
              <w:pStyle w:val="Compact"/>
              <w:jc w:val="right"/>
            </w:pPr>
            <w:r>
              <w:t xml:space="preserve">12 601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155 501</w:t>
            </w:r>
          </w:p>
        </w:tc>
        <w:tc>
          <w:p>
            <w:pPr>
              <w:pStyle w:val="Compact"/>
              <w:jc w:val="right"/>
            </w:pPr>
            <w:r>
              <w:t xml:space="preserve">60 298</w:t>
            </w:r>
          </w:p>
        </w:tc>
        <w:tc>
          <w:p>
            <w:pPr>
              <w:pStyle w:val="Compact"/>
              <w:jc w:val="right"/>
            </w:pPr>
            <w:r>
              <w:t xml:space="preserve">2 748,0</w:t>
            </w:r>
          </w:p>
        </w:tc>
      </w:tr>
    </w:tbl>
    <w:p>
      <w:r>
        <w:t xml:space="preserve"> </w:t>
      </w:r>
      <w:r>
        <w:rPr>
          <w:i/>
        </w:rPr>
        <w:t xml:space="preserve">Tableau 19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indemnitaire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29 064</w:t>
            </w:r>
          </w:p>
        </w:tc>
        <w:tc>
          <w:p>
            <w:pPr>
              <w:pStyle w:val="Compact"/>
              <w:jc w:val="right"/>
            </w:pPr>
            <w:r>
              <w:t xml:space="preserve">34 026</w:t>
            </w:r>
          </w:p>
        </w:tc>
        <w:tc>
          <w:p>
            <w:pPr>
              <w:pStyle w:val="Compact"/>
              <w:jc w:val="right"/>
            </w:pPr>
            <w:r>
              <w:t xml:space="preserve">5,722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35 885</w:t>
            </w:r>
          </w:p>
        </w:tc>
        <w:tc>
          <w:p>
            <w:pPr>
              <w:pStyle w:val="Compact"/>
              <w:jc w:val="right"/>
            </w:pPr>
            <w:r>
              <w:t xml:space="preserve">37 560</w:t>
            </w:r>
          </w:p>
        </w:tc>
        <w:tc>
          <w:p>
            <w:pPr>
              <w:pStyle w:val="Compact"/>
              <w:jc w:val="right"/>
            </w:pPr>
            <w:r>
              <w:t xml:space="preserve">17,789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38 812</w:t>
            </w:r>
          </w:p>
        </w:tc>
        <w:tc>
          <w:p>
            <w:pPr>
              <w:pStyle w:val="Compact"/>
              <w:jc w:val="right"/>
            </w:pPr>
            <w:r>
              <w:t xml:space="preserve">41 290</w:t>
            </w:r>
          </w:p>
        </w:tc>
        <w:tc>
          <w:p>
            <w:pPr>
              <w:pStyle w:val="Compact"/>
              <w:jc w:val="right"/>
            </w:pPr>
            <w:r>
              <w:t xml:space="preserve">25,612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44 548</w:t>
            </w:r>
          </w:p>
        </w:tc>
        <w:tc>
          <w:p>
            <w:pPr>
              <w:pStyle w:val="Compact"/>
              <w:jc w:val="right"/>
            </w:pPr>
            <w:r>
              <w:t xml:space="preserve">46 646</w:t>
            </w:r>
          </w:p>
        </w:tc>
        <w:tc>
          <w:p>
            <w:pPr>
              <w:pStyle w:val="Compact"/>
              <w:jc w:val="right"/>
            </w:pPr>
            <w:r>
              <w:t xml:space="preserve">24,773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44 522</w:t>
            </w:r>
          </w:p>
        </w:tc>
        <w:tc>
          <w:p>
            <w:pPr>
              <w:pStyle w:val="Compact"/>
              <w:jc w:val="right"/>
            </w:pPr>
            <w:r>
              <w:t xml:space="preserve">46 884</w:t>
            </w:r>
          </w:p>
        </w:tc>
        <w:tc>
          <w:p>
            <w:pPr>
              <w:pStyle w:val="Compact"/>
              <w:jc w:val="right"/>
            </w:pPr>
            <w:r>
              <w:t xml:space="preserve">28,480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109 277</w:t>
            </w:r>
          </w:p>
        </w:tc>
        <w:tc>
          <w:p>
            <w:pPr>
              <w:pStyle w:val="Compact"/>
              <w:jc w:val="right"/>
            </w:pPr>
            <w:r>
              <w:t xml:space="preserve">109 277</w:t>
            </w:r>
          </w:p>
        </w:tc>
        <w:tc>
          <w:p>
            <w:pPr>
              <w:pStyle w:val="Compact"/>
              <w:jc w:val="right"/>
            </w:pPr>
            <w:r>
              <w:t xml:space="preserve">55,179</w:t>
            </w:r>
          </w:p>
        </w:tc>
      </w:tr>
    </w:tbl>
    <w:p>
      <w:r>
        <w:rPr>
          <w:b/>
        </w:rPr>
        <w:t xml:space="preserve">Effectif : 15</w:t>
      </w:r>
    </w:p>
    <w:p>
      <w:r>
        <w:rPr>
          <w:b/>
        </w:rPr>
        <w:t xml:space="preserve">Catégorie B</w:t>
      </w:r>
    </w:p>
    <w:p>
      <w:r>
        <w:t xml:space="preserve"> </w:t>
      </w:r>
      <w:r>
        <w:rPr>
          <w:i/>
        </w:rPr>
        <w:t xml:space="preserve">Tableau 20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22 138</w:t>
            </w:r>
          </w:p>
        </w:tc>
        <w:tc>
          <w:p>
            <w:pPr>
              <w:pStyle w:val="Compact"/>
              <w:jc w:val="right"/>
            </w:pPr>
            <w:r>
              <w:t xml:space="preserve">567,2</w:t>
            </w:r>
          </w:p>
        </w:tc>
        <w:tc>
          <w:p>
            <w:pPr>
              <w:pStyle w:val="Compact"/>
              <w:jc w:val="right"/>
            </w:pPr>
            <w:r>
              <w:t xml:space="preserve">0,000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38 081</w:t>
            </w:r>
          </w:p>
        </w:tc>
        <w:tc>
          <w:p>
            <w:pPr>
              <w:pStyle w:val="Compact"/>
              <w:jc w:val="right"/>
            </w:pPr>
            <w:r>
              <w:t xml:space="preserve">2 866,7</w:t>
            </w:r>
          </w:p>
        </w:tc>
        <w:tc>
          <w:p>
            <w:pPr>
              <w:pStyle w:val="Compact"/>
              <w:jc w:val="right"/>
            </w:pPr>
            <w:r>
              <w:t xml:space="preserve">0,000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45 236</w:t>
            </w:r>
          </w:p>
        </w:tc>
        <w:tc>
          <w:p>
            <w:pPr>
              <w:pStyle w:val="Compact"/>
              <w:jc w:val="right"/>
            </w:pPr>
            <w:r>
              <w:t xml:space="preserve">3 715,1</w:t>
            </w:r>
          </w:p>
        </w:tc>
        <w:tc>
          <w:p>
            <w:pPr>
              <w:pStyle w:val="Compact"/>
              <w:jc w:val="right"/>
            </w:pPr>
            <w:r>
              <w:t xml:space="preserve">0,000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43 971</w:t>
            </w:r>
          </w:p>
        </w:tc>
        <w:tc>
          <w:p>
            <w:pPr>
              <w:pStyle w:val="Compact"/>
              <w:jc w:val="right"/>
            </w:pPr>
            <w:r>
              <w:t xml:space="preserve">4 086,4</w:t>
            </w:r>
          </w:p>
        </w:tc>
        <w:tc>
          <w:p>
            <w:pPr>
              <w:pStyle w:val="Compact"/>
              <w:jc w:val="right"/>
            </w:pPr>
            <w:r>
              <w:t xml:space="preserve">2,555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49 434</w:t>
            </w:r>
          </w:p>
        </w:tc>
        <w:tc>
          <w:p>
            <w:pPr>
              <w:pStyle w:val="Compact"/>
              <w:jc w:val="right"/>
            </w:pPr>
            <w:r>
              <w:t xml:space="preserve">4 694,7</w:t>
            </w:r>
          </w:p>
        </w:tc>
        <w:tc>
          <w:p>
            <w:pPr>
              <w:pStyle w:val="Compact"/>
              <w:jc w:val="right"/>
            </w:pPr>
            <w:r>
              <w:t xml:space="preserve">0,000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64 623</w:t>
            </w:r>
          </w:p>
        </w:tc>
        <w:tc>
          <w:p>
            <w:pPr>
              <w:pStyle w:val="Compact"/>
              <w:jc w:val="right"/>
            </w:pPr>
            <w:r>
              <w:t xml:space="preserve">11 656,4</w:t>
            </w:r>
          </w:p>
        </w:tc>
        <w:tc>
          <w:p>
            <w:pPr>
              <w:pStyle w:val="Compact"/>
              <w:jc w:val="right"/>
            </w:pPr>
            <w:r>
              <w:t xml:space="preserve">120,070</w:t>
            </w:r>
          </w:p>
        </w:tc>
      </w:tr>
    </w:tbl>
    <w:p>
      <w:r>
        <w:t xml:space="preserve"> </w:t>
      </w:r>
      <w:r>
        <w:rPr>
          <w:i/>
        </w:rPr>
        <w:t xml:space="preserve">Tableau 21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indemnitaire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11 956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4,744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20 856</w:t>
            </w:r>
          </w:p>
        </w:tc>
        <w:tc>
          <w:p>
            <w:pPr>
              <w:pStyle w:val="Compact"/>
              <w:jc w:val="right"/>
            </w:pPr>
            <w:r>
              <w:t xml:space="preserve">23 002</w:t>
            </w:r>
          </w:p>
        </w:tc>
        <w:tc>
          <w:p>
            <w:pPr>
              <w:pStyle w:val="Compact"/>
              <w:jc w:val="right"/>
            </w:pPr>
            <w:r>
              <w:t xml:space="preserve">12,693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24 342</w:t>
            </w:r>
          </w:p>
        </w:tc>
        <w:tc>
          <w:p>
            <w:pPr>
              <w:pStyle w:val="Compact"/>
              <w:jc w:val="right"/>
            </w:pPr>
            <w:r>
              <w:t xml:space="preserve">25 926</w:t>
            </w:r>
          </w:p>
        </w:tc>
        <w:tc>
          <w:p>
            <w:pPr>
              <w:pStyle w:val="Compact"/>
              <w:jc w:val="right"/>
            </w:pPr>
            <w:r>
              <w:t xml:space="preserve">16,023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24 057</w:t>
            </w:r>
          </w:p>
        </w:tc>
        <w:tc>
          <w:p>
            <w:pPr>
              <w:pStyle w:val="Compact"/>
              <w:jc w:val="right"/>
            </w:pPr>
            <w:r>
              <w:t xml:space="preserve">24 823</w:t>
            </w:r>
          </w:p>
        </w:tc>
        <w:tc>
          <w:p>
            <w:pPr>
              <w:pStyle w:val="Compact"/>
              <w:jc w:val="right"/>
            </w:pPr>
            <w:r>
              <w:t xml:space="preserve">16,581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28 464</w:t>
            </w:r>
          </w:p>
        </w:tc>
        <w:tc>
          <w:p>
            <w:pPr>
              <w:pStyle w:val="Compact"/>
              <w:jc w:val="right"/>
            </w:pPr>
            <w:r>
              <w:t xml:space="preserve">28 923</w:t>
            </w:r>
          </w:p>
        </w:tc>
        <w:tc>
          <w:p>
            <w:pPr>
              <w:pStyle w:val="Compact"/>
              <w:jc w:val="right"/>
            </w:pPr>
            <w:r>
              <w:t xml:space="preserve">20,426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39 280</w:t>
            </w:r>
          </w:p>
        </w:tc>
        <w:tc>
          <w:p>
            <w:pPr>
              <w:pStyle w:val="Compact"/>
              <w:jc w:val="right"/>
            </w:pPr>
            <w:r>
              <w:t xml:space="preserve">36 015</w:t>
            </w:r>
          </w:p>
        </w:tc>
        <w:tc>
          <w:p>
            <w:pPr>
              <w:pStyle w:val="Compact"/>
              <w:jc w:val="right"/>
            </w:pPr>
            <w:r>
              <w:t xml:space="preserve">29,675</w:t>
            </w:r>
          </w:p>
        </w:tc>
      </w:tr>
    </w:tbl>
    <w:p>
      <w:r>
        <w:rPr>
          <w:b/>
        </w:rPr>
        <w:t xml:space="preserve">Effectif : 47</w:t>
      </w:r>
    </w:p>
    <w:p>
      <w:r>
        <w:rPr>
          <w:b/>
        </w:rPr>
        <w:t xml:space="preserve">Catégorie C</w:t>
      </w:r>
    </w:p>
    <w:p>
      <w:r>
        <w:t xml:space="preserve"> </w:t>
      </w:r>
      <w:r>
        <w:rPr>
          <w:i/>
        </w:rPr>
        <w:t xml:space="preserve">Tableau 22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7 249</w:t>
            </w:r>
          </w:p>
        </w:tc>
        <w:tc>
          <w:p>
            <w:pPr>
              <w:pStyle w:val="Compact"/>
              <w:jc w:val="right"/>
            </w:pPr>
            <w:r>
              <w:t xml:space="preserve">770,5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35 263</w:t>
            </w:r>
          </w:p>
        </w:tc>
        <w:tc>
          <w:p>
            <w:pPr>
              <w:pStyle w:val="Compact"/>
              <w:jc w:val="right"/>
            </w:pPr>
            <w:r>
              <w:t xml:space="preserve">2 624,8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37 156</w:t>
            </w:r>
          </w:p>
        </w:tc>
        <w:tc>
          <w:p>
            <w:pPr>
              <w:pStyle w:val="Compact"/>
              <w:jc w:val="right"/>
            </w:pPr>
            <w:r>
              <w:t xml:space="preserve">3 543,8</w:t>
            </w:r>
          </w:p>
        </w:tc>
        <w:tc>
          <w:p>
            <w:pPr>
              <w:pStyle w:val="Compact"/>
              <w:jc w:val="right"/>
            </w:pPr>
            <w:r>
              <w:t xml:space="preserve">29,43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36 255</w:t>
            </w:r>
          </w:p>
        </w:tc>
        <w:tc>
          <w:p>
            <w:pPr>
              <w:pStyle w:val="Compact"/>
              <w:jc w:val="right"/>
            </w:pPr>
            <w:r>
              <w:t xml:space="preserve">3 562,2</w:t>
            </w:r>
          </w:p>
        </w:tc>
        <w:tc>
          <w:p>
            <w:pPr>
              <w:pStyle w:val="Compact"/>
              <w:jc w:val="right"/>
            </w:pPr>
            <w:r>
              <w:t xml:space="preserve">374,69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39 622</w:t>
            </w:r>
          </w:p>
        </w:tc>
        <w:tc>
          <w:p>
            <w:pPr>
              <w:pStyle w:val="Compact"/>
              <w:jc w:val="right"/>
            </w:pPr>
            <w:r>
              <w:t xml:space="preserve">4 330,9</w:t>
            </w:r>
          </w:p>
        </w:tc>
        <w:tc>
          <w:p>
            <w:pPr>
              <w:pStyle w:val="Compact"/>
              <w:jc w:val="right"/>
            </w:pPr>
            <w:r>
              <w:t xml:space="preserve">878,82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50 554</w:t>
            </w:r>
          </w:p>
        </w:tc>
        <w:tc>
          <w:p>
            <w:pPr>
              <w:pStyle w:val="Compact"/>
              <w:jc w:val="right"/>
            </w:pPr>
            <w:r>
              <w:t xml:space="preserve">10 426,6</w:t>
            </w:r>
          </w:p>
        </w:tc>
        <w:tc>
          <w:p>
            <w:pPr>
              <w:pStyle w:val="Compact"/>
              <w:jc w:val="right"/>
            </w:pPr>
            <w:r>
              <w:t xml:space="preserve">1 475,76</w:t>
            </w:r>
          </w:p>
        </w:tc>
      </w:tr>
    </w:tbl>
    <w:p>
      <w:r>
        <w:t xml:space="preserve"> </w:t>
      </w:r>
      <w:r>
        <w:rPr>
          <w:i/>
        </w:rPr>
        <w:t xml:space="preserve">Tableau 23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indemnitaire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4 379</w:t>
            </w:r>
          </w:p>
        </w:tc>
        <w:tc>
          <w:p>
            <w:pPr>
              <w:pStyle w:val="Compact"/>
              <w:jc w:val="right"/>
            </w:pPr>
            <w:r>
              <w:t xml:space="preserve">15 825</w:t>
            </w:r>
          </w:p>
        </w:tc>
        <w:tc>
          <w:p>
            <w:pPr>
              <w:pStyle w:val="Compact"/>
              <w:jc w:val="right"/>
            </w:pPr>
            <w:r>
              <w:t xml:space="preserve">8,33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18 966</w:t>
            </w:r>
          </w:p>
        </w:tc>
        <w:tc>
          <w:p>
            <w:pPr>
              <w:pStyle w:val="Compact"/>
              <w:jc w:val="right"/>
            </w:pPr>
            <w:r>
              <w:t xml:space="preserve">19 752</w:t>
            </w:r>
          </w:p>
        </w:tc>
        <w:tc>
          <w:p>
            <w:pPr>
              <w:pStyle w:val="Compact"/>
              <w:jc w:val="right"/>
            </w:pPr>
            <w:r>
              <w:t xml:space="preserve">14,66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20 265</w:t>
            </w:r>
          </w:p>
        </w:tc>
        <w:tc>
          <w:p>
            <w:pPr>
              <w:pStyle w:val="Compact"/>
              <w:jc w:val="right"/>
            </w:pPr>
            <w:r>
              <w:t xml:space="preserve">20 916</w:t>
            </w:r>
          </w:p>
        </w:tc>
        <w:tc>
          <w:p>
            <w:pPr>
              <w:pStyle w:val="Compact"/>
              <w:jc w:val="right"/>
            </w:pPr>
            <w:r>
              <w:t xml:space="preserve">17,34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19 925</w:t>
            </w:r>
          </w:p>
        </w:tc>
        <w:tc>
          <w:p>
            <w:pPr>
              <w:pStyle w:val="Compact"/>
              <w:jc w:val="right"/>
            </w:pPr>
            <w:r>
              <w:t xml:space="preserve">21 351</w:t>
            </w:r>
          </w:p>
        </w:tc>
        <w:tc>
          <w:p>
            <w:pPr>
              <w:pStyle w:val="Compact"/>
              <w:jc w:val="right"/>
            </w:pPr>
            <w:r>
              <w:t xml:space="preserve">17,74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21 915</w:t>
            </w:r>
          </w:p>
        </w:tc>
        <w:tc>
          <w:p>
            <w:pPr>
              <w:pStyle w:val="Compact"/>
              <w:jc w:val="right"/>
            </w:pPr>
            <w:r>
              <w:t xml:space="preserve">22 694</w:t>
            </w:r>
          </w:p>
        </w:tc>
        <w:tc>
          <w:p>
            <w:pPr>
              <w:pStyle w:val="Compact"/>
              <w:jc w:val="right"/>
            </w:pPr>
            <w:r>
              <w:t xml:space="preserve">19,81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30 102</w:t>
            </w:r>
          </w:p>
        </w:tc>
        <w:tc>
          <w:p>
            <w:pPr>
              <w:pStyle w:val="Compact"/>
              <w:jc w:val="right"/>
            </w:pPr>
            <w:r>
              <w:t xml:space="preserve">30 102</w:t>
            </w:r>
          </w:p>
        </w:tc>
        <w:tc>
          <w:p>
            <w:pPr>
              <w:pStyle w:val="Compact"/>
              <w:jc w:val="right"/>
            </w:pPr>
            <w:r>
              <w:t xml:space="preserve">34,64</w:t>
            </w:r>
          </w:p>
        </w:tc>
      </w:tr>
    </w:tbl>
    <w:p>
      <w:r>
        <w:rPr>
          <w:b/>
        </w:rPr>
        <w:t xml:space="preserve">Effectif : 78</w:t>
      </w:r>
    </w:p>
    <w:p>
      <w:pPr>
        <w:pStyle w:val="Heading6"/>
      </w:pPr>
      <w:bookmarkStart w:id="54" w:name="section"/>
      <w:bookmarkEnd w:id="54"/>
    </w:p>
    <w:p>
      <w:pPr>
        <w:pStyle w:val="Heading2"/>
      </w:pPr>
      <w:bookmarkStart w:id="55" w:name="contractuels-vacataires-et-stagiaires-inclus"/>
      <w:bookmarkEnd w:id="55"/>
      <w:r>
        <w:t xml:space="preserve">2.3 Contractuels, vacataires et stagiaires inclus</w:t>
      </w:r>
    </w:p>
    <w:p>
      <w:r>
        <w:rPr>
          <w:i/>
        </w:rPr>
        <w:t xml:space="preserve">Les assistantes maternelles et les vacataires sont ici inclus, pour les postes non annexes</w:t>
      </w:r>
    </w:p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t xml:space="preserve"> </w:t>
      </w:r>
      <w:r>
        <w:t xml:space="preserve">Ne sont retenues que les rémunérations supérieures à 1 000 k€. Les élus ne sont pas pris en compte.</w:t>
      </w:r>
    </w:p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Formation et distribution du salaire brut moyen par tête (SMPT) en EQTP pour l'année 2010</w:t>
      </w:r>
    </w:p>
    <w:p>
      <w:r>
        <w:t xml:space="preserve"> </w:t>
      </w:r>
      <w:r>
        <w:rPr>
          <w:i/>
        </w:rPr>
        <w:t xml:space="preserve">Tableau 24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-898,1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675,5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2 443,9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4 072,1</w:t>
            </w:r>
          </w:p>
        </w:tc>
        <w:tc>
          <w:p>
            <w:pPr>
              <w:pStyle w:val="Compact"/>
              <w:jc w:val="right"/>
            </w:pPr>
            <w:r>
              <w:t xml:space="preserve">254,5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4 898,0</w:t>
            </w:r>
          </w:p>
        </w:tc>
        <w:tc>
          <w:p>
            <w:pPr>
              <w:pStyle w:val="Compact"/>
              <w:jc w:val="right"/>
            </w:pPr>
            <w:r>
              <w:t xml:space="preserve">428,4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43 409,2</w:t>
            </w:r>
          </w:p>
        </w:tc>
        <w:tc>
          <w:p>
            <w:pPr>
              <w:pStyle w:val="Compact"/>
              <w:jc w:val="right"/>
            </w:pPr>
            <w:r>
              <w:t xml:space="preserve">1 970,5</w:t>
            </w:r>
          </w:p>
        </w:tc>
        <w:tc>
          <w:p>
            <w:pPr>
              <w:pStyle w:val="Compact"/>
            </w:pPr>
          </w:p>
        </w:tc>
      </w:tr>
    </w:tbl>
    <w:p>
      <w:r>
        <w:t xml:space="preserve"> </w:t>
      </w:r>
      <w:r>
        <w:rPr>
          <w:i/>
        </w:rPr>
        <w:t xml:space="preserve">Tableau 25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4 143</w:t>
            </w:r>
          </w:p>
        </w:tc>
        <w:tc>
          <w:p>
            <w:pPr>
              <w:pStyle w:val="Compact"/>
              <w:jc w:val="right"/>
            </w:pPr>
            <w:r>
              <w:t xml:space="preserve">9 870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9 148</w:t>
            </w:r>
          </w:p>
        </w:tc>
        <w:tc>
          <w:p>
            <w:pPr>
              <w:pStyle w:val="Compact"/>
              <w:jc w:val="right"/>
            </w:pPr>
            <w:r>
              <w:t xml:space="preserve">18 793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16 948</w:t>
            </w:r>
          </w:p>
        </w:tc>
        <w:tc>
          <w:p>
            <w:pPr>
              <w:pStyle w:val="Compact"/>
              <w:jc w:val="right"/>
            </w:pPr>
            <w:r>
              <w:t xml:space="preserve">22 470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20 137</w:t>
            </w:r>
          </w:p>
        </w:tc>
        <w:tc>
          <w:p>
            <w:pPr>
              <w:pStyle w:val="Compact"/>
              <w:jc w:val="right"/>
            </w:pPr>
            <w:r>
              <w:t xml:space="preserve">25 939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22 650</w:t>
            </w:r>
          </w:p>
        </w:tc>
        <w:tc>
          <w:p>
            <w:pPr>
              <w:pStyle w:val="Compact"/>
              <w:jc w:val="right"/>
            </w:pPr>
            <w:r>
              <w:t xml:space="preserve">25 412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103 993</w:t>
            </w:r>
          </w:p>
        </w:tc>
        <w:tc>
          <w:p>
            <w:pPr>
              <w:pStyle w:val="Compact"/>
              <w:jc w:val="right"/>
            </w:pPr>
            <w:r>
              <w:t xml:space="preserve">103 993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58" w:name="remunerations-brutes-analyse-pour-lexercice-2013"/>
      <w:bookmarkEnd w:id="58"/>
      <w:r>
        <w:t xml:space="preserve">3. Rémunérations brutes : analyse pour l'exercice 2013</w:t>
      </w:r>
    </w:p>
    <w:p>
      <w:pPr>
        <w:pStyle w:val="Heading2"/>
      </w:pPr>
      <w:bookmarkStart w:id="59" w:name="masse-salariale-brute-de-lensemble-des-agents-1"/>
      <w:bookmarkEnd w:id="59"/>
      <w:r>
        <w:t xml:space="preserve">3.1 Masse salariale brute de l'ensemble des agents</w:t>
      </w:r>
    </w:p>
    <w:p>
      <w:pPr>
        <w:pStyle w:val="Heading3"/>
      </w:pPr>
      <w:bookmarkStart w:id="60" w:name="cumuls-des-remunerations-brutes-pour-lexercice-2013"/>
      <w:bookmarkEnd w:id="60"/>
      <w:r>
        <w:t xml:space="preserve">Cumuls des rémunérations brutes pour l'exercice 2013</w:t>
      </w:r>
    </w:p>
    <w:p>
      <w:r>
        <w:rPr>
          <w:i/>
        </w:rPr>
        <w:t xml:space="preserve">Personnels (hors élus)</w:t>
      </w:r>
    </w:p>
    <w:p>
      <w:r>
        <w:t xml:space="preserve"> </w:t>
      </w:r>
      <w:r>
        <w:rPr>
          <w:i/>
        </w:rPr>
        <w:t xml:space="preserve">Tableau 26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left"/>
            </w:pPr>
            <w:r>
              <w:t xml:space="preserve">6 606 466,5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left"/>
            </w:pPr>
            <w:r>
              <w:t xml:space="preserve">6 373 237,0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Primes :</w:t>
            </w:r>
          </w:p>
        </w:tc>
        <w:tc>
          <w:p>
            <w:pPr>
              <w:pStyle w:val="Compact"/>
              <w:jc w:val="left"/>
            </w:pPr>
            <w:r>
              <w:t xml:space="preserve">1 145 163,5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left"/>
            </w:pPr>
            <w:r>
              <w:t xml:space="preserve">18 412,2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left"/>
            </w:pPr>
            <w:r>
              <w:t xml:space="preserve">17,3</w:t>
            </w:r>
          </w:p>
        </w:tc>
      </w:tr>
    </w:tbl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27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Bulletins de paie</w:t>
            </w:r>
          </w:p>
        </w:tc>
        <w:tc>
          <w:p>
            <w:pPr>
              <w:pStyle w:val="Compact"/>
              <w:jc w:val="left"/>
            </w:pPr>
            <w:r>
              <w:t xml:space="preserve">6 606 466,5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Lignes de paie</w:t>
            </w:r>
          </w:p>
        </w:tc>
        <w:tc>
          <w:p>
            <w:pPr>
              <w:pStyle w:val="Compact"/>
              <w:jc w:val="left"/>
            </w:pPr>
            <w:r>
              <w:t xml:space="preserve">6 373 237,0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Différence</w:t>
            </w:r>
          </w:p>
        </w:tc>
        <w:tc>
          <w:p>
            <w:pPr>
              <w:pStyle w:val="Compact"/>
              <w:jc w:val="left"/>
            </w:pPr>
            <w:r>
              <w:t xml:space="preserve">233 229,5</w:t>
            </w:r>
          </w:p>
        </w:tc>
      </w:tr>
    </w:tbl>
    <w:p>
      <w:r>
        <w:t xml:space="preserve">à comparer aux soldes des comptes 641 et 648 du compte de gestion.</w:t>
      </w:r>
    </w:p>
    <w:p>
      <w:pPr>
        <w:pStyle w:val="Heading2"/>
      </w:pPr>
      <w:bookmarkStart w:id="61" w:name="masse-salariale-brute-des-fonctionnaires-1"/>
      <w:bookmarkEnd w:id="61"/>
      <w:r>
        <w:t xml:space="preserve">3.2 Masse salariale brute des fonctionnaires</w:t>
      </w:r>
    </w:p>
    <w:p>
      <w:r>
        <w:rPr>
          <w:i/>
        </w:rPr>
        <w:t xml:space="preserve">Cette section concerne les personnels fonctionnaires titulaires et stagiaires</w:t>
      </w:r>
    </w:p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5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5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5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5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5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br w:type="textWrapping"/>
      </w:r>
      <w:r>
        <w:rPr>
          <w:i/>
        </w:rPr>
        <w:t xml:space="preserve">EQTP : Equivalent temps plein = 12 . moyenne du ratio ratio rémunération / quotité</w:t>
      </w:r>
    </w:p>
    <w:p>
      <w:r>
        <w:rPr>
          <w:b/>
        </w:rPr>
        <w:t xml:space="preserve">Effectif : 172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titulaires et stagiaires :</w:t>
      </w:r>
    </w:p>
    <w:p>
      <w:r>
        <w:t xml:space="preserve"> </w:t>
      </w:r>
      <w:r>
        <w:rPr>
          <w:i/>
        </w:rPr>
        <w:t xml:space="preserve">Tableau 28</w:t>
      </w:r>
    </w:p>
    <w:p>
      <w:pPr>
        <w:pStyle w:val="SourceCode"/>
      </w:pPr>
      <w:r>
        <w:rPr>
          <w:rStyle w:val="VerbatimChar"/>
        </w:rPr>
        <w:t xml:space="preserve">## Error in `[.data.table`(masses.premier, "Montant.brut.annuel"): When i is a data.table (or character vector), the columns to join by must be specified either using 'on=' argument (see ?data.table) or by keying x (i.e. sorted, and, marked as sorted, see ?setkey). Keyed joins might have further speed benefits on very large data due to x being sorted in RAM.</w:t>
      </w:r>
    </w:p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d'élus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29</w:t>
      </w:r>
    </w:p>
    <w:p>
      <w:pPr>
        <w:pStyle w:val="SourceCode"/>
      </w:pPr>
      <w:r>
        <w:rPr>
          <w:rStyle w:val="VerbatimChar"/>
        </w:rPr>
        <w:t xml:space="preserve">## Error in `[.data.table`(masses.premier, "Montant.brut.annuel"): When i is a data.table (or character vector), the columns to join by must be specified either using 'on=' argument (see ?data.table) or by keying x (i.e. sorted, and, marked as sorted, see ?setkey). Keyed joins might have further speed benefits on very large data due to x being sorted in RAM.</w:t>
      </w:r>
    </w:p>
    <w:p>
      <w:r>
        <w:t xml:space="preserve">A comparer aux soldes des comptes 6411, 6419 et 648 du compte de gestion.</w:t>
      </w:r>
    </w:p>
    <w:p>
      <w:r>
        <w:rPr>
          <w:b/>
        </w:rPr>
        <w:t xml:space="preserve">Formation et distribution du salaire brut moyen par tête (SMPT) en EQTP pour l'année 2013</w:t>
      </w:r>
    </w:p>
    <w:p>
      <w:r>
        <w:t xml:space="preserve"> </w:t>
      </w:r>
      <w:r>
        <w:rPr>
          <w:i/>
        </w:rPr>
        <w:t xml:space="preserve">Tableau 30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4 570</w:t>
            </w:r>
          </w:p>
        </w:tc>
        <w:tc>
          <w:p>
            <w:pPr>
              <w:pStyle w:val="Compact"/>
              <w:jc w:val="right"/>
            </w:pPr>
            <w:r>
              <w:t xml:space="preserve">589,6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17 866</w:t>
            </w:r>
          </w:p>
        </w:tc>
        <w:tc>
          <w:p>
            <w:pPr>
              <w:pStyle w:val="Compact"/>
              <w:jc w:val="right"/>
            </w:pPr>
            <w:r>
              <w:t xml:space="preserve">3 006,4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19 313</w:t>
            </w:r>
          </w:p>
        </w:tc>
        <w:tc>
          <w:p>
            <w:pPr>
              <w:pStyle w:val="Compact"/>
              <w:jc w:val="right"/>
            </w:pPr>
            <w:r>
              <w:t xml:space="preserve">3 633,7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21 545</w:t>
            </w:r>
          </w:p>
        </w:tc>
        <w:tc>
          <w:p>
            <w:pPr>
              <w:pStyle w:val="Compact"/>
              <w:jc w:val="right"/>
            </w:pPr>
            <w:r>
              <w:t xml:space="preserve">5 167,9</w:t>
            </w:r>
          </w:p>
        </w:tc>
        <w:tc>
          <w:p>
            <w:pPr>
              <w:pStyle w:val="Compact"/>
              <w:jc w:val="right"/>
            </w:pPr>
            <w:r>
              <w:t xml:space="preserve">104,1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24 577</w:t>
            </w:r>
          </w:p>
        </w:tc>
        <w:tc>
          <w:p>
            <w:pPr>
              <w:pStyle w:val="Compact"/>
              <w:jc w:val="right"/>
            </w:pPr>
            <w:r>
              <w:t xml:space="preserve">5 418,1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53 327</w:t>
            </w:r>
          </w:p>
        </w:tc>
        <w:tc>
          <w:p>
            <w:pPr>
              <w:pStyle w:val="Compact"/>
              <w:jc w:val="right"/>
            </w:pPr>
            <w:r>
              <w:t xml:space="preserve">62 963,3</w:t>
            </w:r>
          </w:p>
        </w:tc>
        <w:tc>
          <w:p>
            <w:pPr>
              <w:pStyle w:val="Compact"/>
              <w:jc w:val="right"/>
            </w:pPr>
            <w:r>
              <w:t xml:space="preserve">6 600,0</w:t>
            </w:r>
          </w:p>
        </w:tc>
        <w:tc>
          <w:p>
            <w:pPr>
              <w:pStyle w:val="Compact"/>
            </w:pPr>
          </w:p>
        </w:tc>
      </w:tr>
    </w:tbl>
    <w:p>
      <w:r>
        <w:t xml:space="preserve"> </w:t>
      </w:r>
      <w:r>
        <w:rPr>
          <w:i/>
        </w:rPr>
        <w:t xml:space="preserve">Tableau 31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lignes hors rappels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brut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SMPT brut en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rém.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5 160</w:t>
            </w:r>
          </w:p>
        </w:tc>
        <w:tc>
          <w:p>
            <w:pPr>
              <w:pStyle w:val="Compact"/>
              <w:jc w:val="right"/>
            </w:pPr>
            <w:r>
              <w:t xml:space="preserve">5 324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5,262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21 207</w:t>
            </w:r>
          </w:p>
        </w:tc>
        <w:tc>
          <w:p>
            <w:pPr>
              <w:pStyle w:val="Compact"/>
              <w:jc w:val="right"/>
            </w:pPr>
            <w:r>
              <w:t xml:space="preserve">20 939</w:t>
            </w:r>
          </w:p>
        </w:tc>
        <w:tc>
          <w:p>
            <w:pPr>
              <w:pStyle w:val="Compact"/>
              <w:jc w:val="right"/>
            </w:pPr>
            <w:r>
              <w:t xml:space="preserve">22 198</w:t>
            </w:r>
          </w:p>
        </w:tc>
        <w:tc>
          <w:p>
            <w:pPr>
              <w:pStyle w:val="Compact"/>
              <w:jc w:val="right"/>
            </w:pPr>
            <w:r>
              <w:t xml:space="preserve">13,999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24 087</w:t>
            </w:r>
          </w:p>
        </w:tc>
        <w:tc>
          <w:p>
            <w:pPr>
              <w:pStyle w:val="Compact"/>
              <w:jc w:val="right"/>
            </w:pPr>
            <w:r>
              <w:t xml:space="preserve">24 592</w:t>
            </w:r>
          </w:p>
        </w:tc>
        <w:tc>
          <w:p>
            <w:pPr>
              <w:pStyle w:val="Compact"/>
              <w:jc w:val="right"/>
            </w:pPr>
            <w:r>
              <w:t xml:space="preserve">25 255</w:t>
            </w:r>
          </w:p>
        </w:tc>
        <w:tc>
          <w:p>
            <w:pPr>
              <w:pStyle w:val="Compact"/>
              <w:jc w:val="right"/>
            </w:pPr>
            <w:r>
              <w:t xml:space="preserve">15,876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26 713</w:t>
            </w:r>
          </w:p>
        </w:tc>
        <w:tc>
          <w:p>
            <w:pPr>
              <w:pStyle w:val="Compact"/>
              <w:jc w:val="right"/>
            </w:pPr>
            <w:r>
              <w:t xml:space="preserve">26 968</w:t>
            </w:r>
          </w:p>
        </w:tc>
        <w:tc>
          <w:p>
            <w:pPr>
              <w:pStyle w:val="Compact"/>
              <w:jc w:val="right"/>
            </w:pPr>
            <w:r>
              <w:t xml:space="preserve">28 027</w:t>
            </w:r>
          </w:p>
        </w:tc>
        <w:tc>
          <w:p>
            <w:pPr>
              <w:pStyle w:val="Compact"/>
              <w:jc w:val="right"/>
            </w:pPr>
            <w:r>
              <w:t xml:space="preserve">17,430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28 202</w:t>
            </w:r>
          </w:p>
        </w:tc>
        <w:tc>
          <w:p>
            <w:pPr>
              <w:pStyle w:val="Compact"/>
              <w:jc w:val="right"/>
            </w:pPr>
            <w:r>
              <w:t xml:space="preserve">28 494</w:t>
            </w:r>
          </w:p>
        </w:tc>
        <w:tc>
          <w:p>
            <w:pPr>
              <w:pStyle w:val="Compact"/>
              <w:jc w:val="right"/>
            </w:pPr>
            <w:r>
              <w:t xml:space="preserve">30 757</w:t>
            </w:r>
          </w:p>
        </w:tc>
        <w:tc>
          <w:p>
            <w:pPr>
              <w:pStyle w:val="Compact"/>
              <w:jc w:val="right"/>
            </w:pPr>
            <w:r>
              <w:t xml:space="preserve">20,153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116 290</w:t>
            </w:r>
          </w:p>
        </w:tc>
        <w:tc>
          <w:p>
            <w:pPr>
              <w:pStyle w:val="Compact"/>
              <w:jc w:val="right"/>
            </w:pPr>
            <w:r>
              <w:t xml:space="preserve">119 238</w:t>
            </w:r>
          </w:p>
        </w:tc>
        <w:tc>
          <w:p>
            <w:pPr>
              <w:pStyle w:val="Compact"/>
              <w:jc w:val="right"/>
            </w:pPr>
            <w:r>
              <w:t xml:space="preserve">119 238</w:t>
            </w:r>
          </w:p>
        </w:tc>
        <w:tc>
          <w:p>
            <w:pPr>
              <w:pStyle w:val="Compact"/>
              <w:jc w:val="right"/>
            </w:pPr>
            <w:r>
              <w:t xml:space="preserve">52,805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i/>
        </w:rPr>
        <w:t xml:space="preserve">Hors vacataires identifiés, assistantes maternelles, élus locaux et pour les postes actifs non annexes</w:t>
      </w:r>
    </w:p>
    <w:p>
      <w:r>
        <w:rPr>
          <w:b/>
        </w:rPr>
        <w:t xml:space="preserve">Catégorie A</w:t>
      </w:r>
    </w:p>
    <w:p>
      <w:r>
        <w:t xml:space="preserve"> </w:t>
      </w:r>
      <w:r>
        <w:rPr>
          <w:i/>
        </w:rPr>
        <w:t xml:space="preserve">Tableau 32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18 883</w:t>
            </w:r>
          </w:p>
        </w:tc>
        <w:tc>
          <w:p>
            <w:pPr>
              <w:pStyle w:val="Compact"/>
              <w:jc w:val="right"/>
            </w:pPr>
            <w:r>
              <w:t xml:space="preserve">2 165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28 282</w:t>
            </w:r>
          </w:p>
        </w:tc>
        <w:tc>
          <w:p>
            <w:pPr>
              <w:pStyle w:val="Compact"/>
              <w:jc w:val="right"/>
            </w:pPr>
            <w:r>
              <w:t xml:space="preserve">7 724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36 172</w:t>
            </w:r>
          </w:p>
        </w:tc>
        <w:tc>
          <w:p>
            <w:pPr>
              <w:pStyle w:val="Compact"/>
              <w:jc w:val="right"/>
            </w:pPr>
            <w:r>
              <w:t xml:space="preserve">10 613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35 386</w:t>
            </w:r>
          </w:p>
        </w:tc>
        <w:tc>
          <w:p>
            <w:pPr>
              <w:pStyle w:val="Compact"/>
              <w:jc w:val="right"/>
            </w:pPr>
            <w:r>
              <w:t xml:space="preserve">13 839</w:t>
            </w:r>
          </w:p>
        </w:tc>
        <w:tc>
          <w:p>
            <w:pPr>
              <w:pStyle w:val="Compact"/>
              <w:jc w:val="right"/>
            </w:pPr>
            <w:r>
              <w:t xml:space="preserve">381,7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41 964</w:t>
            </w:r>
          </w:p>
        </w:tc>
        <w:tc>
          <w:p>
            <w:pPr>
              <w:pStyle w:val="Compact"/>
              <w:jc w:val="right"/>
            </w:pPr>
            <w:r>
              <w:t xml:space="preserve">15 384</w:t>
            </w:r>
          </w:p>
        </w:tc>
        <w:tc>
          <w:p>
            <w:pPr>
              <w:pStyle w:val="Compact"/>
              <w:jc w:val="right"/>
            </w:pPr>
            <w:r>
              <w:t xml:space="preserve">159,7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53 327</w:t>
            </w:r>
          </w:p>
        </w:tc>
        <w:tc>
          <w:p>
            <w:pPr>
              <w:pStyle w:val="Compact"/>
              <w:jc w:val="right"/>
            </w:pPr>
            <w:r>
              <w:t xml:space="preserve">62 963</w:t>
            </w:r>
          </w:p>
        </w:tc>
        <w:tc>
          <w:p>
            <w:pPr>
              <w:pStyle w:val="Compact"/>
              <w:jc w:val="right"/>
            </w:pPr>
            <w:r>
              <w:t xml:space="preserve">6 600,0</w:t>
            </w:r>
          </w:p>
        </w:tc>
      </w:tr>
    </w:tbl>
    <w:p>
      <w:r>
        <w:t xml:space="preserve"> </w:t>
      </w:r>
      <w:r>
        <w:rPr>
          <w:i/>
        </w:rPr>
        <w:t xml:space="preserve">Tableau 33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indemnitaire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23 415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5,262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36 968</w:t>
            </w:r>
          </w:p>
        </w:tc>
        <w:tc>
          <w:p>
            <w:pPr>
              <w:pStyle w:val="Compact"/>
              <w:jc w:val="right"/>
            </w:pPr>
            <w:r>
              <w:t xml:space="preserve">39 149</w:t>
            </w:r>
          </w:p>
        </w:tc>
        <w:tc>
          <w:p>
            <w:pPr>
              <w:pStyle w:val="Compact"/>
              <w:jc w:val="right"/>
            </w:pPr>
            <w:r>
              <w:t xml:space="preserve">17,919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44 561</w:t>
            </w:r>
          </w:p>
        </w:tc>
        <w:tc>
          <w:p>
            <w:pPr>
              <w:pStyle w:val="Compact"/>
              <w:jc w:val="right"/>
            </w:pPr>
            <w:r>
              <w:t xml:space="preserve">46 703</w:t>
            </w:r>
          </w:p>
        </w:tc>
        <w:tc>
          <w:p>
            <w:pPr>
              <w:pStyle w:val="Compact"/>
              <w:jc w:val="right"/>
            </w:pPr>
            <w:r>
              <w:t xml:space="preserve">25,904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49 133</w:t>
            </w:r>
          </w:p>
        </w:tc>
        <w:tc>
          <w:p>
            <w:pPr>
              <w:pStyle w:val="Compact"/>
              <w:jc w:val="right"/>
            </w:pPr>
            <w:r>
              <w:t xml:space="preserve">49 806</w:t>
            </w:r>
          </w:p>
        </w:tc>
        <w:tc>
          <w:p>
            <w:pPr>
              <w:pStyle w:val="Compact"/>
              <w:jc w:val="right"/>
            </w:pPr>
            <w:r>
              <w:t xml:space="preserve">25,537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50 646</w:t>
            </w:r>
          </w:p>
        </w:tc>
        <w:tc>
          <w:p>
            <w:pPr>
              <w:pStyle w:val="Compact"/>
              <w:jc w:val="right"/>
            </w:pPr>
            <w:r>
              <w:t xml:space="preserve">56 122</w:t>
            </w:r>
          </w:p>
        </w:tc>
        <w:tc>
          <w:p>
            <w:pPr>
              <w:pStyle w:val="Compact"/>
              <w:jc w:val="right"/>
            </w:pPr>
            <w:r>
              <w:t xml:space="preserve">32,711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119 238</w:t>
            </w:r>
          </w:p>
        </w:tc>
        <w:tc>
          <w:p>
            <w:pPr>
              <w:pStyle w:val="Compact"/>
              <w:jc w:val="right"/>
            </w:pPr>
            <w:r>
              <w:t xml:space="preserve">119 238</w:t>
            </w:r>
          </w:p>
        </w:tc>
        <w:tc>
          <w:p>
            <w:pPr>
              <w:pStyle w:val="Compact"/>
              <w:jc w:val="right"/>
            </w:pPr>
            <w:r>
              <w:t xml:space="preserve">52,805</w:t>
            </w:r>
          </w:p>
        </w:tc>
      </w:tr>
    </w:tbl>
    <w:p>
      <w:r>
        <w:rPr>
          <w:b/>
        </w:rPr>
        <w:t xml:space="preserve">Effectif : 21</w:t>
      </w:r>
    </w:p>
    <w:p>
      <w:r>
        <w:rPr>
          <w:b/>
        </w:rPr>
        <w:t xml:space="preserve">Catégorie B</w:t>
      </w:r>
    </w:p>
    <w:p>
      <w:r>
        <w:t xml:space="preserve"> </w:t>
      </w:r>
      <w:r>
        <w:rPr>
          <w:i/>
        </w:rPr>
        <w:t xml:space="preserve">Tableau 34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12 486</w:t>
            </w:r>
          </w:p>
        </w:tc>
        <w:tc>
          <w:p>
            <w:pPr>
              <w:pStyle w:val="Compact"/>
              <w:jc w:val="right"/>
            </w:pPr>
            <w:r>
              <w:t xml:space="preserve">1 318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19 672</w:t>
            </w:r>
          </w:p>
        </w:tc>
        <w:tc>
          <w:p>
            <w:pPr>
              <w:pStyle w:val="Compact"/>
              <w:jc w:val="right"/>
            </w:pPr>
            <w:r>
              <w:t xml:space="preserve">2 289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23 480</w:t>
            </w:r>
          </w:p>
        </w:tc>
        <w:tc>
          <w:p>
            <w:pPr>
              <w:pStyle w:val="Compact"/>
              <w:jc w:val="right"/>
            </w:pPr>
            <w:r>
              <w:t xml:space="preserve">4 135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22 591</w:t>
            </w:r>
          </w:p>
        </w:tc>
        <w:tc>
          <w:p>
            <w:pPr>
              <w:pStyle w:val="Compact"/>
              <w:jc w:val="right"/>
            </w:pPr>
            <w:r>
              <w:t xml:space="preserve">4 221</w:t>
            </w:r>
          </w:p>
        </w:tc>
        <w:tc>
          <w:p>
            <w:pPr>
              <w:pStyle w:val="Compact"/>
              <w:jc w:val="right"/>
            </w:pPr>
            <w:r>
              <w:t xml:space="preserve">52,68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25 088</w:t>
            </w:r>
          </w:p>
        </w:tc>
        <w:tc>
          <w:p>
            <w:pPr>
              <w:pStyle w:val="Compact"/>
              <w:jc w:val="right"/>
            </w:pPr>
            <w:r>
              <w:t xml:space="preserve">5 808</w:t>
            </w:r>
          </w:p>
        </w:tc>
        <w:tc>
          <w:p>
            <w:pPr>
              <w:pStyle w:val="Compact"/>
              <w:jc w:val="right"/>
            </w:pPr>
            <w:r>
              <w:t xml:space="preserve">28,93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31 521</w:t>
            </w:r>
          </w:p>
        </w:tc>
        <w:tc>
          <w:p>
            <w:pPr>
              <w:pStyle w:val="Compact"/>
              <w:jc w:val="right"/>
            </w:pPr>
            <w:r>
              <w:t xml:space="preserve">8 761</w:t>
            </w:r>
          </w:p>
        </w:tc>
        <w:tc>
          <w:p>
            <w:pPr>
              <w:pStyle w:val="Compact"/>
              <w:jc w:val="right"/>
            </w:pPr>
            <w:r>
              <w:t xml:space="preserve">297,00</w:t>
            </w:r>
          </w:p>
        </w:tc>
      </w:tr>
    </w:tbl>
    <w:p>
      <w:r>
        <w:t xml:space="preserve"> </w:t>
      </w:r>
      <w:r>
        <w:rPr>
          <w:i/>
        </w:rPr>
        <w:t xml:space="preserve">Tableau 35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indemnitaire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14 657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6,333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25 433</w:t>
            </w:r>
          </w:p>
        </w:tc>
        <w:tc>
          <w:p>
            <w:pPr>
              <w:pStyle w:val="Compact"/>
              <w:jc w:val="right"/>
            </w:pPr>
            <w:r>
              <w:t xml:space="preserve">26 037</w:t>
            </w:r>
          </w:p>
        </w:tc>
        <w:tc>
          <w:p>
            <w:pPr>
              <w:pStyle w:val="Compact"/>
              <w:jc w:val="right"/>
            </w:pPr>
            <w:r>
              <w:t xml:space="preserve">9,507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27 333</w:t>
            </w:r>
          </w:p>
        </w:tc>
        <w:tc>
          <w:p>
            <w:pPr>
              <w:pStyle w:val="Compact"/>
              <w:jc w:val="right"/>
            </w:pPr>
            <w:r>
              <w:t xml:space="preserve">28 341</w:t>
            </w:r>
          </w:p>
        </w:tc>
        <w:tc>
          <w:p>
            <w:pPr>
              <w:pStyle w:val="Compact"/>
              <w:jc w:val="right"/>
            </w:pPr>
            <w:r>
              <w:t xml:space="preserve">15,113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27 045</w:t>
            </w:r>
          </w:p>
        </w:tc>
        <w:tc>
          <w:p>
            <w:pPr>
              <w:pStyle w:val="Compact"/>
              <w:jc w:val="right"/>
            </w:pPr>
            <w:r>
              <w:t xml:space="preserve">27 582</w:t>
            </w:r>
          </w:p>
        </w:tc>
        <w:tc>
          <w:p>
            <w:pPr>
              <w:pStyle w:val="Compact"/>
              <w:jc w:val="right"/>
            </w:pPr>
            <w:r>
              <w:t xml:space="preserve">15,458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30 362</w:t>
            </w:r>
          </w:p>
        </w:tc>
        <w:tc>
          <w:p>
            <w:pPr>
              <w:pStyle w:val="Compact"/>
              <w:jc w:val="right"/>
            </w:pPr>
            <w:r>
              <w:t xml:space="preserve">31 707</w:t>
            </w:r>
          </w:p>
        </w:tc>
        <w:tc>
          <w:p>
            <w:pPr>
              <w:pStyle w:val="Compact"/>
              <w:jc w:val="right"/>
            </w:pPr>
            <w:r>
              <w:t xml:space="preserve">20,243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35 844</w:t>
            </w:r>
          </w:p>
        </w:tc>
        <w:tc>
          <w:p>
            <w:pPr>
              <w:pStyle w:val="Compact"/>
              <w:jc w:val="right"/>
            </w:pPr>
            <w:r>
              <w:t xml:space="preserve">38 826</w:t>
            </w:r>
          </w:p>
        </w:tc>
        <w:tc>
          <w:p>
            <w:pPr>
              <w:pStyle w:val="Compact"/>
              <w:jc w:val="right"/>
            </w:pPr>
            <w:r>
              <w:t xml:space="preserve">29,097</w:t>
            </w:r>
          </w:p>
        </w:tc>
      </w:tr>
    </w:tbl>
    <w:p>
      <w:r>
        <w:rPr>
          <w:b/>
        </w:rPr>
        <w:t xml:space="preserve">Effectif : 55</w:t>
      </w:r>
    </w:p>
    <w:p>
      <w:r>
        <w:rPr>
          <w:b/>
        </w:rPr>
        <w:t xml:space="preserve">Catégorie C</w:t>
      </w:r>
    </w:p>
    <w:p>
      <w:r>
        <w:t xml:space="preserve"> </w:t>
      </w:r>
      <w:r>
        <w:rPr>
          <w:i/>
        </w:rPr>
        <w:t xml:space="preserve">Tableau 36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4 570</w:t>
            </w:r>
          </w:p>
        </w:tc>
        <w:tc>
          <w:p>
            <w:pPr>
              <w:pStyle w:val="Compact"/>
              <w:jc w:val="right"/>
            </w:pPr>
            <w:r>
              <w:t xml:space="preserve">589,6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17 196</w:t>
            </w:r>
          </w:p>
        </w:tc>
        <w:tc>
          <w:p>
            <w:pPr>
              <w:pStyle w:val="Compact"/>
              <w:jc w:val="right"/>
            </w:pPr>
            <w:r>
              <w:t xml:space="preserve">3 006,4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18 012</w:t>
            </w:r>
          </w:p>
        </w:tc>
        <w:tc>
          <w:p>
            <w:pPr>
              <w:pStyle w:val="Compact"/>
              <w:jc w:val="right"/>
            </w:pPr>
            <w:r>
              <w:t xml:space="preserve">3 537,8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17 298</w:t>
            </w:r>
          </w:p>
        </w:tc>
        <w:tc>
          <w:p>
            <w:pPr>
              <w:pStyle w:val="Compact"/>
              <w:jc w:val="right"/>
            </w:pPr>
            <w:r>
              <w:t xml:space="preserve">3 582,1</w:t>
            </w:r>
          </w:p>
        </w:tc>
        <w:tc>
          <w:p>
            <w:pPr>
              <w:pStyle w:val="Compact"/>
              <w:jc w:val="right"/>
            </w:pPr>
            <w:r>
              <w:t xml:space="preserve">67,55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18 780</w:t>
            </w:r>
          </w:p>
        </w:tc>
        <w:tc>
          <w:p>
            <w:pPr>
              <w:pStyle w:val="Compact"/>
              <w:jc w:val="right"/>
            </w:pPr>
            <w:r>
              <w:t xml:space="preserve">3 906,1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23 826</w:t>
            </w:r>
          </w:p>
        </w:tc>
        <w:tc>
          <w:p>
            <w:pPr>
              <w:pStyle w:val="Compact"/>
              <w:jc w:val="right"/>
            </w:pPr>
            <w:r>
              <w:t xml:space="preserve">8 866,6</w:t>
            </w:r>
          </w:p>
        </w:tc>
        <w:tc>
          <w:p>
            <w:pPr>
              <w:pStyle w:val="Compact"/>
              <w:jc w:val="right"/>
            </w:pPr>
            <w:r>
              <w:t xml:space="preserve">3 506,44</w:t>
            </w:r>
          </w:p>
        </w:tc>
      </w:tr>
    </w:tbl>
    <w:p>
      <w:r>
        <w:t xml:space="preserve"> </w:t>
      </w:r>
      <w:r>
        <w:rPr>
          <w:i/>
        </w:rPr>
        <w:t xml:space="preserve">Tableau 37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indemnitaire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5 324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10,85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20 088</w:t>
            </w:r>
          </w:p>
        </w:tc>
        <w:tc>
          <w:p>
            <w:pPr>
              <w:pStyle w:val="Compact"/>
              <w:jc w:val="right"/>
            </w:pPr>
            <w:r>
              <w:t xml:space="preserve">21 013</w:t>
            </w:r>
          </w:p>
        </w:tc>
        <w:tc>
          <w:p>
            <w:pPr>
              <w:pStyle w:val="Compact"/>
              <w:jc w:val="right"/>
            </w:pPr>
            <w:r>
              <w:t xml:space="preserve">14,68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21 659</w:t>
            </w:r>
          </w:p>
        </w:tc>
        <w:tc>
          <w:p>
            <w:pPr>
              <w:pStyle w:val="Compact"/>
              <w:jc w:val="right"/>
            </w:pPr>
            <w:r>
              <w:t xml:space="preserve">23 015</w:t>
            </w:r>
          </w:p>
        </w:tc>
        <w:tc>
          <w:p>
            <w:pPr>
              <w:pStyle w:val="Compact"/>
              <w:jc w:val="right"/>
            </w:pPr>
            <w:r>
              <w:t xml:space="preserve">15,58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21 240</w:t>
            </w:r>
          </w:p>
        </w:tc>
        <w:tc>
          <w:p>
            <w:pPr>
              <w:pStyle w:val="Compact"/>
              <w:jc w:val="right"/>
            </w:pPr>
            <w:r>
              <w:t xml:space="preserve">22 748</w:t>
            </w:r>
          </w:p>
        </w:tc>
        <w:tc>
          <w:p>
            <w:pPr>
              <w:pStyle w:val="Compact"/>
              <w:jc w:val="right"/>
            </w:pPr>
            <w:r>
              <w:t xml:space="preserve">16,68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23 532</w:t>
            </w:r>
          </w:p>
        </w:tc>
        <w:tc>
          <w:p>
            <w:pPr>
              <w:pStyle w:val="Compact"/>
              <w:jc w:val="right"/>
            </w:pPr>
            <w:r>
              <w:t xml:space="preserve">24 347</w:t>
            </w:r>
          </w:p>
        </w:tc>
        <w:tc>
          <w:p>
            <w:pPr>
              <w:pStyle w:val="Compact"/>
              <w:jc w:val="right"/>
            </w:pPr>
            <w:r>
              <w:t xml:space="preserve">17,77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29 811</w:t>
            </w:r>
          </w:p>
        </w:tc>
        <w:tc>
          <w:p>
            <w:pPr>
              <w:pStyle w:val="Compact"/>
              <w:jc w:val="right"/>
            </w:pPr>
            <w:r>
              <w:t xml:space="preserve">39 118</w:t>
            </w:r>
          </w:p>
        </w:tc>
        <w:tc>
          <w:p>
            <w:pPr>
              <w:pStyle w:val="Compact"/>
              <w:jc w:val="right"/>
            </w:pPr>
            <w:r>
              <w:t xml:space="preserve">36,70</w:t>
            </w:r>
          </w:p>
        </w:tc>
      </w:tr>
    </w:tbl>
    <w:p>
      <w:r>
        <w:rPr>
          <w:b/>
        </w:rPr>
        <w:t xml:space="preserve">Effectif : 82</w:t>
      </w:r>
    </w:p>
    <w:p>
      <w:pPr>
        <w:pStyle w:val="Heading6"/>
      </w:pPr>
      <w:bookmarkStart w:id="68" w:name="section-1"/>
      <w:bookmarkEnd w:id="68"/>
    </w:p>
    <w:p>
      <w:pPr>
        <w:pStyle w:val="Heading2"/>
      </w:pPr>
      <w:bookmarkStart w:id="69" w:name="contractuels-vacataires-et-stagiaires-inclus-1"/>
      <w:bookmarkEnd w:id="69"/>
      <w:r>
        <w:t xml:space="preserve">3.3 Contractuels, vacataires et stagiaires inclus</w:t>
      </w:r>
    </w:p>
    <w:p>
      <w:r>
        <w:rPr>
          <w:i/>
        </w:rPr>
        <w:t xml:space="preserve">Les assistantes maternelles et les vacataires sont ici inclus, pour les postes non annexes</w:t>
      </w:r>
    </w:p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6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t xml:space="preserve"> </w:t>
      </w:r>
      <w:r>
        <w:t xml:space="preserve">Ne sont retenues que les rémunérations supérieures à 1 000 k€. Les élus ne sont pas pris en compte.</w:t>
      </w:r>
    </w:p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Formation et distribution du salaire brut moyen par tête (SMPT) en EQTP pour l'année 2013</w:t>
      </w:r>
    </w:p>
    <w:p>
      <w:r>
        <w:t xml:space="preserve"> </w:t>
      </w:r>
      <w:r>
        <w:rPr>
          <w:i/>
        </w:rPr>
        <w:t xml:space="preserve">Tableau 38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>
            <w:pPr>
              <w:pStyle w:val="Compact"/>
              <w:jc w:val="right"/>
            </w:pPr>
            <w:r>
              <w:t xml:space="preserve">0,000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178,2</w:t>
            </w:r>
          </w:p>
        </w:tc>
        <w:tc>
          <w:p>
            <w:pPr>
              <w:pStyle w:val="Compact"/>
              <w:jc w:val="right"/>
            </w:pPr>
            <w:r>
              <w:t xml:space="preserve">0,000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2 156,5</w:t>
            </w:r>
          </w:p>
        </w:tc>
        <w:tc>
          <w:p>
            <w:pPr>
              <w:pStyle w:val="Compact"/>
              <w:jc w:val="right"/>
            </w:pPr>
            <w:r>
              <w:t xml:space="preserve">0,000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2 990,9</w:t>
            </w:r>
          </w:p>
        </w:tc>
        <w:tc>
          <w:p>
            <w:pPr>
              <w:pStyle w:val="Compact"/>
              <w:jc w:val="right"/>
            </w:pPr>
            <w:r>
              <w:t xml:space="preserve">2,298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5 116,3</w:t>
            </w:r>
          </w:p>
        </w:tc>
        <w:tc>
          <w:p>
            <w:pPr>
              <w:pStyle w:val="Compact"/>
              <w:jc w:val="right"/>
            </w:pPr>
            <w:r>
              <w:t xml:space="preserve">0,000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13 876,1</w:t>
            </w:r>
          </w:p>
        </w:tc>
        <w:tc>
          <w:p>
            <w:pPr>
              <w:pStyle w:val="Compact"/>
              <w:jc w:val="right"/>
            </w:pPr>
            <w:r>
              <w:t xml:space="preserve">216,000</w:t>
            </w:r>
          </w:p>
        </w:tc>
        <w:tc>
          <w:p>
            <w:pPr>
              <w:pStyle w:val="Compact"/>
            </w:pPr>
          </w:p>
        </w:tc>
      </w:tr>
    </w:tbl>
    <w:p>
      <w:r>
        <w:t xml:space="preserve"> </w:t>
      </w:r>
      <w:r>
        <w:rPr>
          <w:i/>
        </w:rPr>
        <w:t xml:space="preserve">Tableau 39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4 859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12 359</w:t>
            </w:r>
          </w:p>
        </w:tc>
        <w:tc>
          <w:p>
            <w:pPr>
              <w:pStyle w:val="Compact"/>
              <w:jc w:val="right"/>
            </w:pPr>
            <w:r>
              <w:t xml:space="preserve">19 193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20 084</w:t>
            </w:r>
          </w:p>
        </w:tc>
        <w:tc>
          <w:p>
            <w:pPr>
              <w:pStyle w:val="Compact"/>
              <w:jc w:val="right"/>
            </w:pPr>
            <w:r>
              <w:t xml:space="preserve">22 995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19 528</w:t>
            </w:r>
          </w:p>
        </w:tc>
        <w:tc>
          <w:p>
            <w:pPr>
              <w:pStyle w:val="Compact"/>
              <w:jc w:val="right"/>
            </w:pPr>
            <w:r>
              <w:t xml:space="preserve">24 705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23 746</w:t>
            </w:r>
          </w:p>
        </w:tc>
        <w:tc>
          <w:p>
            <w:pPr>
              <w:pStyle w:val="Compact"/>
              <w:jc w:val="right"/>
            </w:pPr>
            <w:r>
              <w:t xml:space="preserve">25 397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71 487</w:t>
            </w:r>
          </w:p>
        </w:tc>
        <w:tc>
          <w:p>
            <w:pPr>
              <w:pStyle w:val="Compact"/>
              <w:jc w:val="right"/>
            </w:pPr>
            <w:r>
              <w:t xml:space="preserve">127 800</w:t>
            </w:r>
          </w:p>
        </w:tc>
        <w:tc>
          <w:p>
            <w:pPr>
              <w:pStyle w:val="Compact"/>
            </w:pPr>
          </w:p>
        </w:tc>
      </w:tr>
    </w:tbl>
    <w:p>
      <w:hyperlink r:id="rId72">
        <w:r>
          <w:rPr>
            <w:rStyle w:val="Link"/>
          </w:rPr>
          <w:t xml:space="preserve">Lien vers la base des rémunérations</w:t>
        </w:r>
      </w:hyperlink>
    </w:p>
    <w:p>
      <w:pPr>
        <w:pStyle w:val="Heading2"/>
      </w:pPr>
      <w:bookmarkStart w:id="73" w:name="comparaisons-source-inseedgcl"/>
      <w:bookmarkEnd w:id="73"/>
      <w:r>
        <w:t xml:space="preserve">3.4 Comparaisons source INSEE/DGCL</w:t>
      </w:r>
    </w:p>
    <w:p>
      <w:r>
        <w:rPr>
          <w:i/>
        </w:rPr>
        <w:t xml:space="preserve">Salaires annnuels moyens 2011 en EQTP (hors assistantes maternelles)</w:t>
      </w:r>
    </w:p>
    <w:p>
      <w:r>
        <w:t xml:space="preserve"> </w:t>
      </w:r>
      <w:r>
        <w:rPr>
          <w:i/>
        </w:rPr>
        <w:t xml:space="preserve">Tableau 40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Salaires bruts 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Salaires bruts 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Salaires bruts 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Ensemble</w:t>
            </w:r>
          </w:p>
        </w:tc>
        <w:tc>
          <w:p>
            <w:pPr>
              <w:pStyle w:val="Compact"/>
              <w:jc w:val="left"/>
            </w:pPr>
            <w:r>
              <w:t xml:space="preserve">25 908,0</w:t>
            </w:r>
          </w:p>
        </w:tc>
        <w:tc>
          <w:p>
            <w:pPr>
              <w:pStyle w:val="Compact"/>
              <w:jc w:val="left"/>
            </w:pPr>
            <w:r>
              <w:t xml:space="preserve">26 340,0</w:t>
            </w:r>
          </w:p>
        </w:tc>
        <w:tc>
          <w:p>
            <w:pPr>
              <w:pStyle w:val="Compact"/>
              <w:jc w:val="left"/>
            </w:pPr>
            <w:r>
              <w:t xml:space="preserve">26 616,0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Titulaires</w:t>
            </w:r>
          </w:p>
        </w:tc>
        <w:tc>
          <w:p>
            <w:pPr>
              <w:pStyle w:val="Compact"/>
              <w:jc w:val="left"/>
            </w:pPr>
            <w:r>
              <w:t xml:space="preserve">26 676,0</w:t>
            </w:r>
          </w:p>
        </w:tc>
        <w:tc>
          <w:p>
            <w:pPr>
              <w:pStyle w:val="Compact"/>
              <w:jc w:val="left"/>
            </w:pPr>
            <w:r>
              <w:t xml:space="preserve">27 108,0</w:t>
            </w:r>
          </w:p>
        </w:tc>
        <w:tc>
          <w:p>
            <w:pPr>
              <w:pStyle w:val="Compact"/>
              <w:jc w:val="left"/>
            </w:pPr>
            <w:r>
              <w:t xml:space="preserve">27 444,0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Autres salariés</w:t>
            </w:r>
          </w:p>
        </w:tc>
        <w:tc>
          <w:p>
            <w:pPr>
              <w:pStyle w:val="Compact"/>
              <w:jc w:val="left"/>
            </w:pPr>
            <w:r>
              <w:t xml:space="preserve">22 836,0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24 360,0</w:t>
            </w:r>
          </w:p>
        </w:tc>
      </w:tr>
    </w:tbl>
    <w:p>
      <w:r>
        <w:rPr>
          <w:b/>
        </w:rPr>
        <w:t xml:space="preserve">Eléments de la rémunération brute pour les titulaires de la FPT entre 2010 et 2012</w:t>
      </w:r>
    </w:p>
    <w:p>
      <w:r>
        <w:t xml:space="preserve"> </w:t>
      </w:r>
      <w:r>
        <w:rPr>
          <w:i/>
        </w:rPr>
        <w:t xml:space="preserve">Tableau 41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Rém. annuelles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Salaire brut</w:t>
            </w:r>
          </w:p>
        </w:tc>
        <w:tc>
          <w:p>
            <w:pPr>
              <w:pStyle w:val="Compact"/>
              <w:jc w:val="left"/>
            </w:pPr>
            <w:r>
              <w:t xml:space="preserve">26305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26660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27108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27444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Traitement brut</w:t>
            </w:r>
          </w:p>
        </w:tc>
        <w:tc>
          <w:p>
            <w:pPr>
              <w:pStyle w:val="Compact"/>
              <w:jc w:val="left"/>
            </w:pPr>
            <w:r>
              <w:t xml:space="preserve">20350</w:t>
            </w:r>
          </w:p>
        </w:tc>
        <w:tc>
          <w:p>
            <w:pPr>
              <w:pStyle w:val="Compact"/>
              <w:jc w:val="left"/>
            </w:pPr>
            <w:r>
              <w:t xml:space="preserve">22,6 %</w:t>
            </w:r>
          </w:p>
        </w:tc>
        <w:tc>
          <w:p>
            <w:pPr>
              <w:pStyle w:val="Compact"/>
              <w:jc w:val="left"/>
            </w:pPr>
            <w:r>
              <w:t xml:space="preserve">20562</w:t>
            </w:r>
          </w:p>
        </w:tc>
        <w:tc>
          <w:p>
            <w:pPr>
              <w:pStyle w:val="Compact"/>
              <w:jc w:val="left"/>
            </w:pPr>
            <w:r>
              <w:t xml:space="preserve">22,9 %</w:t>
            </w:r>
          </w:p>
        </w:tc>
        <w:tc>
          <w:p>
            <w:pPr>
              <w:pStyle w:val="Compact"/>
              <w:jc w:val="left"/>
            </w:pPr>
            <w:r>
              <w:t xml:space="preserve">20724</w:t>
            </w:r>
          </w:p>
        </w:tc>
        <w:tc>
          <w:p>
            <w:pPr>
              <w:pStyle w:val="Compact"/>
              <w:jc w:val="left"/>
            </w:pPr>
            <w:r>
              <w:t xml:space="preserve">23,6 %</w:t>
            </w:r>
          </w:p>
        </w:tc>
        <w:tc>
          <w:p>
            <w:pPr>
              <w:pStyle w:val="Compact"/>
              <w:jc w:val="left"/>
            </w:pPr>
            <w:r>
              <w:t xml:space="preserve">21060</w:t>
            </w:r>
          </w:p>
        </w:tc>
        <w:tc>
          <w:p>
            <w:pPr>
              <w:pStyle w:val="Compact"/>
              <w:jc w:val="left"/>
            </w:pPr>
            <w:r>
              <w:t xml:space="preserve">23,6 %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Primes et rémunérations annexes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y compris IR et SFT</w:t>
            </w:r>
          </w:p>
        </w:tc>
        <w:tc>
          <w:p>
            <w:pPr>
              <w:pStyle w:val="Compact"/>
              <w:jc w:val="left"/>
            </w:pPr>
            <w:r>
              <w:t xml:space="preserve">5955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6098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6384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6384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i/>
        </w:rPr>
        <w:t xml:space="preserve">Champ : France. Salariés en équivalent-temps plein (EQTP) des collectivités territoriales (y compris bénéficiaires de contrats aidés, hors assistantes maternelles).</w:t>
      </w:r>
      <w:r>
        <w:br w:type="textWrapping"/>
      </w:r>
      <w:r>
        <w:rPr>
          <w:i/>
        </w:rPr>
        <w:t xml:space="preserve">Les primes sont cumulées au supplément familial de traitement (SFT) et à l'indemnité de résidence (IR). Le cumul est rapporté à la rémunération brute totale.</w:t>
      </w:r>
      <w:r>
        <w:br w:type="textWrapping"/>
      </w:r>
      <w:hyperlink r:id="rId74">
        <w:r>
          <w:rPr>
            <w:rStyle w:val="Link"/>
          </w:rPr>
          <w:t xml:space="preserve">Source INSEE</w:t>
        </w:r>
      </w:hyperlink>
      <w:r>
        <w:br w:type="textWrapping"/>
      </w:r>
      <w:hyperlink r:id="rId75">
        <w:r>
          <w:rPr>
            <w:rStyle w:val="Link"/>
          </w:rPr>
          <w:t xml:space="preserve">Source DGCL</w:t>
        </w:r>
      </w:hyperlink>
      <w:r>
        <w:br w:type="textWrapping"/>
      </w:r>
      <w:hyperlink r:id="rId76">
        <w:r>
          <w:rPr>
            <w:rStyle w:val="Link"/>
          </w:rPr>
          <w:t xml:space="preserve">Source DGFIP PLF 2015</w:t>
        </w:r>
      </w:hyperlink>
    </w:p>
    <w:p>
      <w:pPr>
        <w:pStyle w:val="Heading1"/>
      </w:pPr>
      <w:bookmarkStart w:id="77" w:name="remunerations-nettes-evolutions-sur-la-periode-2010---2013"/>
      <w:bookmarkEnd w:id="77"/>
      <w:r>
        <w:t xml:space="preserve">4. Rémunérations nettes : évolutions sur la période 2010 - 2013</w:t>
      </w:r>
    </w:p>
    <w:p>
      <w:r>
        <w:t xml:space="preserve">Nombre d'exercices: 4</w:t>
      </w:r>
    </w:p>
    <w:p>
      <w:r>
        <w:rPr>
          <w:b/>
        </w:rPr>
        <w:t xml:space="preserve">Les données présentées dans cette section sont toutes relatives à des rémunérations nettes en équivalent temps plein (EQTP)</w:t>
      </w:r>
      <w:r>
        <w:br w:type="textWrapping"/>
      </w:r>
      <w:r>
        <w:t xml:space="preserve">Les élus, les vacataires et les assistantes maternelles ont été retirés de la population étudiée</w:t>
      </w:r>
      <w:r>
        <w:br w:type="textWrapping"/>
      </w:r>
      <w:r>
        <w:t xml:space="preserve">Seuls sont considérés les postes actifs et non annexes</w:t>
      </w:r>
    </w:p>
    <w:p>
      <w:r>
        <w:rPr>
          <w:i/>
        </w:rPr>
        <w:t xml:space="preserve">Nota :</w:t>
      </w:r>
      <w:r>
        <w:br w:type="textWrapping"/>
      </w:r>
      <w:r>
        <w:rPr>
          <w:i/>
        </w:rPr>
        <w:t xml:space="preserve">EQTP = Equivalent temps plein = 12 . moyenne du ratio rémunération / quotité</w:t>
      </w:r>
    </w:p>
    <w:p>
      <w:pPr>
        <w:pStyle w:val="Heading2"/>
      </w:pPr>
      <w:bookmarkStart w:id="78" w:name="distribution-de-la-remuneration-nette-moyenne-sur-la-periode"/>
      <w:bookmarkEnd w:id="78"/>
      <w:r>
        <w:t xml:space="preserve">4.1 Distribution de la rémunération nette moyenne sur la période</w:t>
      </w:r>
    </w:p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326241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26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81">
        <w:r>
          <w:rPr>
            <w:rStyle w:val="Link"/>
          </w:rPr>
          <w:t xml:space="preserve">Lien vers la base de données synthétique</w:t>
        </w:r>
      </w:hyperlink>
      <w:r>
        <w:t xml:space="preserve"> </w:t>
      </w:r>
      <w:hyperlink r:id="rId82">
        <w:r>
          <w:rPr>
            <w:rStyle w:val="Link"/>
          </w:rPr>
          <w:t xml:space="preserve">Lien vers la base de données détaillée par année</w:t>
        </w:r>
      </w:hyperlink>
    </w:p>
    <w:p>
      <w:pPr>
        <w:pStyle w:val="Heading2"/>
      </w:pPr>
      <w:bookmarkStart w:id="83" w:name="evolutions-des-remunerations-nettes-sur-la-periode-2010---2013"/>
      <w:bookmarkEnd w:id="83"/>
      <w:r>
        <w:t xml:space="preserve">4.2 Evolutions des rémunérations nettes sur la période 2010 - 2013</w:t>
      </w:r>
    </w:p>
    <w:p>
      <w:pPr>
        <w:pStyle w:val="Heading3"/>
      </w:pPr>
      <w:bookmarkStart w:id="84" w:name="ensemble-des-personnels-fonctionnaires-et-non-titulaires-hors-elus"/>
      <w:bookmarkEnd w:id="84"/>
      <w:r>
        <w:t xml:space="preserve">4.2.1 Ensemble des personnels fonctionnaires et non titulaires (hors élus)</w:t>
      </w:r>
    </w:p>
    <w:p>
      <w:r>
        <w:rPr>
          <w:b/>
        </w:rPr>
        <w:t xml:space="preserve">Salaire net moyen par tête (SMPT net) en EQTP, hors élus</w:t>
      </w:r>
    </w:p>
    <w:p>
      <w:r>
        <w:t xml:space="preserve"> </w:t>
      </w:r>
      <w:r>
        <w:rPr>
          <w:i/>
        </w:rPr>
        <w:t xml:space="preserve">Tableau 42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Rém.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4 600,2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21 102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4 507,5</w:t>
            </w:r>
          </w:p>
        </w:tc>
        <w:tc>
          <w:p>
            <w:pPr>
              <w:pStyle w:val="Compact"/>
              <w:jc w:val="center"/>
            </w:pPr>
            <w:r>
              <w:t xml:space="preserve">21,8</w:t>
            </w:r>
          </w:p>
        </w:tc>
        <w:tc>
          <w:p>
            <w:pPr>
              <w:pStyle w:val="Compact"/>
              <w:jc w:val="center"/>
            </w:pPr>
            <w:r>
              <w:t xml:space="preserve">21 775</w:t>
            </w:r>
          </w:p>
        </w:tc>
        <w:tc>
          <w:p>
            <w:pPr>
              <w:pStyle w:val="Compact"/>
              <w:jc w:val="center"/>
            </w:pPr>
            <w:r>
              <w:t xml:space="preserve">9,26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5 148,2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21 362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5 602,5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23 056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b/>
        </w:rPr>
        <w:t xml:space="preserve">Effet de noria sur salaires nets et taux de remplacements</w:t>
      </w:r>
    </w:p>
    <w:p>
      <w:r>
        <w:rPr>
          <w:b/>
        </w:rPr>
        <w:t xml:space="preserve">Effet de noria</w:t>
      </w:r>
      <w:r>
        <w:t xml:space="preserve"> </w:t>
      </w:r>
      <w:r>
        <w:t xml:space="preserve">:</w:t>
      </w:r>
      <w:r>
        <w:t xml:space="preserve"> </w:t>
      </w:r>
      <w:r>
        <w:rPr>
          <w:i/>
        </w:rPr>
        <w:t xml:space="preserve">différence entre la rémunération annuelle des entrants à l'année N et des sortants à l'année N-1</w:t>
      </w:r>
      <w:r>
        <w:t xml:space="preserve">.</w:t>
      </w:r>
      <w:r>
        <w:br w:type="textWrapping"/>
      </w:r>
      <w:r>
        <w:rPr>
          <w:i/>
        </w:rPr>
        <w:t xml:space="preserve">Usuellement calculée sur les rémunérations brutes, ici sur les rémunérations nettes EQTP</w:t>
      </w:r>
      <w:r>
        <w:br w:type="textWrapping"/>
      </w:r>
      <w:r>
        <w:rPr>
          <w:i/>
        </w:rPr>
        <w:t xml:space="preserve">afin d'apprécier l'impact de cet effet sur l'évolution des rémunérations nette moyennes calculée au tableau précédent.</w:t>
      </w:r>
    </w:p>
    <w:p>
      <w:r>
        <w:t xml:space="preserve"> </w:t>
      </w:r>
      <w:r>
        <w:rPr>
          <w:i/>
        </w:rPr>
        <w:t xml:space="preserve">Tableau 43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Noria EQTP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En % de la MS N-1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Remplacements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Taux de remplacements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673,47</w:t>
            </w:r>
          </w:p>
        </w:tc>
        <w:tc>
          <w:p>
            <w:pPr>
              <w:pStyle w:val="Compact"/>
              <w:jc w:val="center"/>
            </w:pPr>
            <w:r>
              <w:t xml:space="preserve">2,49</w:t>
            </w:r>
          </w:p>
        </w:tc>
        <w:tc>
          <w:p>
            <w:pPr>
              <w:pStyle w:val="Compact"/>
              <w:jc w:val="center"/>
            </w:pPr>
            <w:r>
              <w:t xml:space="preserve">170</w:t>
            </w:r>
          </w:p>
        </w:tc>
        <w:tc>
          <w:p>
            <w:pPr>
              <w:pStyle w:val="Compact"/>
              <w:jc w:val="center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-3 294,4</w:t>
            </w:r>
          </w:p>
        </w:tc>
        <w:tc>
          <w:p>
            <w:pPr>
              <w:pStyle w:val="Compact"/>
              <w:jc w:val="center"/>
            </w:pPr>
            <w:r>
              <w:t xml:space="preserve">-1,02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6,3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-600,14</w:t>
            </w:r>
          </w:p>
        </w:tc>
        <w:tc>
          <w:p>
            <w:pPr>
              <w:pStyle w:val="Compact"/>
              <w:jc w:val="center"/>
            </w:pPr>
            <w:r>
              <w:t xml:space="preserve">-0,162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6,2</w:t>
            </w:r>
          </w:p>
        </w:tc>
      </w:tr>
    </w:tbl>
    <w:p>
      <w:r>
        <w:rPr>
          <w:i/>
        </w:rPr>
        <w:t xml:space="preserve">MS N-1 : masse salariale nette de l'année n-1.</w:t>
      </w:r>
    </w:p>
    <w:p>
      <w:r>
        <w:rPr>
          <w:b/>
        </w:rPr>
        <w:t xml:space="preserve">Distribution et variation sur la période du salaire moyen net par tête (SMPT net) en EQTP</w:t>
      </w:r>
    </w:p>
    <w:p>
      <w:r>
        <w:t xml:space="preserve"> </w:t>
      </w:r>
      <w:r>
        <w:rPr>
          <w:i/>
        </w:rPr>
        <w:t xml:space="preserve">Tableau 44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10 080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16 040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18 540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21 100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21 880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92 590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8 658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17 160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19 740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23 060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23 280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275 900</w:t>
            </w:r>
          </w:p>
        </w:tc>
      </w:tr>
    </w:tbl>
    <w:p>
      <w:r>
        <w:rPr>
          <w:i/>
        </w:rPr>
        <w:t xml:space="preserve">Nota :</w:t>
      </w:r>
      <w:r>
        <w:t xml:space="preserve"> </w:t>
      </w:r>
      <w:r>
        <w:t xml:space="preserve">La population retenue est constituée des agents qui :</w:t>
      </w:r>
      <w:r>
        <w:br w:type="textWrapping"/>
      </w:r>
      <w:r>
        <w:t xml:space="preserve">  - ne font pas partie des 2 centiles extrêmaux</w:t>
      </w:r>
      <w:r>
        <w:br w:type="textWrapping"/>
      </w:r>
      <w:r>
        <w:t xml:space="preserve">  - sont au moins présents 1 jour(s) la première et la dernière année d'activité</w:t>
      </w:r>
      <w:r>
        <w:br w:type="textWrapping"/>
      </w:r>
      <w:r>
        <w:t xml:space="preserve">Les élus, vacataires et assistantes maternelles sont retirés du périmètre.</w:t>
      </w:r>
      <w:r>
        <w:br w:type="textWrapping"/>
      </w:r>
      <w:r>
        <w:t xml:space="preserve">Seuls sont pris en compte les agents ayant connu au moins un mois actif et ayant eu, sur l'année, des rémunérations non annexes.</w:t>
      </w:r>
      <w:r>
        <w:br w:type="textWrapping"/>
      </w:r>
      <w:hyperlink r:id="rId25">
        <w:r>
          <w:rPr>
            <w:rStyle w:val="Link"/>
          </w:rPr>
          <w:t xml:space="preserve">Compléments méthodologiques</w:t>
        </w:r>
      </w:hyperlink>
    </w:p>
    <w:p>
      <w:r>
        <w:rPr>
          <w:b/>
        </w:rPr>
        <w:t xml:space="preserve">Comparaisons source INSEE/DGCL</w:t>
      </w:r>
    </w:p>
    <w:p>
      <w:r>
        <w:rPr>
          <w:b/>
        </w:rPr>
        <w:t xml:space="preserve">Salaires annuels moyens 2011 et 2012 en EQTP (hors assistantes maternelles)</w:t>
      </w:r>
    </w:p>
    <w:p>
      <w:r>
        <w:t xml:space="preserve"> </w:t>
      </w:r>
      <w:r>
        <w:rPr>
          <w:i/>
        </w:rPr>
        <w:t xml:space="preserve">Tableau 45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Salaires nets 2011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Salaires nets 2012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Salaires nets 2013 (€)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Ensemble</w:t>
            </w:r>
          </w:p>
        </w:tc>
        <w:tc>
          <w:p>
            <w:pPr>
              <w:pStyle w:val="Compact"/>
              <w:jc w:val="left"/>
            </w:pPr>
            <w:r>
              <w:t xml:space="preserve">21 876,0</w:t>
            </w:r>
          </w:p>
        </w:tc>
        <w:tc>
          <w:p>
            <w:pPr>
              <w:pStyle w:val="Compact"/>
              <w:jc w:val="left"/>
            </w:pPr>
            <w:r>
              <w:t xml:space="preserve">22 176,0</w:t>
            </w:r>
          </w:p>
        </w:tc>
        <w:tc>
          <w:p>
            <w:pPr>
              <w:pStyle w:val="Compact"/>
              <w:jc w:val="left"/>
            </w:pPr>
            <w:r>
              <w:t xml:space="preserve">22 224,0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Titulaires</w:t>
            </w:r>
          </w:p>
        </w:tc>
        <w:tc>
          <w:p>
            <w:pPr>
              <w:pStyle w:val="Compact"/>
              <w:jc w:val="left"/>
            </w:pPr>
            <w:r>
              <w:t xml:space="preserve">22 632,0</w:t>
            </w:r>
          </w:p>
        </w:tc>
        <w:tc>
          <w:p>
            <w:pPr>
              <w:pStyle w:val="Compact"/>
              <w:jc w:val="left"/>
            </w:pPr>
            <w:r>
              <w:t xml:space="preserve">22 920,0</w:t>
            </w:r>
          </w:p>
        </w:tc>
        <w:tc>
          <w:p>
            <w:pPr>
              <w:pStyle w:val="Compact"/>
              <w:jc w:val="left"/>
            </w:pPr>
            <w:r>
              <w:t xml:space="preserve">22 920,0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Autres salariés</w:t>
            </w:r>
          </w:p>
        </w:tc>
        <w:tc>
          <w:p>
            <w:pPr>
              <w:pStyle w:val="Compact"/>
              <w:jc w:val="left"/>
            </w:pPr>
            <w:r>
              <w:t xml:space="preserve">18 864,0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rPr>
          <w:i/>
        </w:rPr>
        <w:t xml:space="preserve">Champ : France. Salariés en équivalent-temps plein (EQTP) des collectivités territoriales (y compris bénéficiaires de contrats aidés, hors assistantes maternelles).</w:t>
      </w:r>
    </w:p>
    <w:p>
      <w:r>
        <w:rPr>
          <w:b/>
        </w:rPr>
        <w:t xml:space="preserve">Distribution des salaires nets annuels en EQTP dans la fonction publique par versant en 2011</w:t>
      </w:r>
    </w:p>
    <w:p>
      <w:r>
        <w:t xml:space="preserve"> </w:t>
      </w:r>
      <w:r>
        <w:rPr>
          <w:i/>
        </w:rPr>
        <w:t xml:space="preserve">Tableau 46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Décile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FPH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Secteur privé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D1</w:t>
            </w:r>
          </w:p>
        </w:tc>
        <w:tc>
          <w:p>
            <w:pPr>
              <w:pStyle w:val="Compact"/>
              <w:jc w:val="left"/>
            </w:pPr>
            <w:r>
              <w:t xml:space="preserve">17 496,0</w:t>
            </w:r>
          </w:p>
        </w:tc>
        <w:tc>
          <w:p>
            <w:pPr>
              <w:pStyle w:val="Compact"/>
              <w:jc w:val="left"/>
            </w:pPr>
            <w:r>
              <w:t xml:space="preserve">15 288,0</w:t>
            </w:r>
          </w:p>
        </w:tc>
        <w:tc>
          <w:p>
            <w:pPr>
              <w:pStyle w:val="Compact"/>
              <w:jc w:val="left"/>
            </w:pPr>
            <w:r>
              <w:t xml:space="preserve">16 584,0</w:t>
            </w:r>
          </w:p>
        </w:tc>
        <w:tc>
          <w:p>
            <w:pPr>
              <w:pStyle w:val="Compact"/>
              <w:jc w:val="left"/>
            </w:pPr>
            <w:r>
              <w:t xml:space="preserve">14 040,0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p>
            <w:pPr>
              <w:pStyle w:val="Compact"/>
              <w:jc w:val="left"/>
            </w:pPr>
            <w:r>
              <w:t xml:space="preserve">20 916,0</w:t>
            </w:r>
          </w:p>
        </w:tc>
        <w:tc>
          <w:p>
            <w:pPr>
              <w:pStyle w:val="Compact"/>
              <w:jc w:val="left"/>
            </w:pPr>
            <w:r>
              <w:t xml:space="preserve">16 512,0</w:t>
            </w:r>
          </w:p>
        </w:tc>
        <w:tc>
          <w:p>
            <w:pPr>
              <w:pStyle w:val="Compact"/>
              <w:jc w:val="left"/>
            </w:pPr>
            <w:r>
              <w:t xml:space="preserve">18 168,0</w:t>
            </w:r>
          </w:p>
        </w:tc>
        <w:tc>
          <w:p>
            <w:pPr>
              <w:pStyle w:val="Compact"/>
              <w:jc w:val="left"/>
            </w:pPr>
            <w:r>
              <w:t xml:space="preserve">15 660,0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p>
            <w:pPr>
              <w:pStyle w:val="Compact"/>
              <w:jc w:val="left"/>
            </w:pPr>
            <w:r>
              <w:t xml:space="preserve">23 052,0</w:t>
            </w:r>
          </w:p>
        </w:tc>
        <w:tc>
          <w:p>
            <w:pPr>
              <w:pStyle w:val="Compact"/>
              <w:jc w:val="left"/>
            </w:pPr>
            <w:r>
              <w:t xml:space="preserve">17 508,0</w:t>
            </w:r>
          </w:p>
        </w:tc>
        <w:tc>
          <w:p>
            <w:pPr>
              <w:pStyle w:val="Compact"/>
              <w:jc w:val="left"/>
            </w:pPr>
            <w:r>
              <w:t xml:space="preserve">19 620,0</w:t>
            </w:r>
          </w:p>
        </w:tc>
        <w:tc>
          <w:p>
            <w:pPr>
              <w:pStyle w:val="Compact"/>
              <w:jc w:val="left"/>
            </w:pPr>
            <w:r>
              <w:t xml:space="preserve">17 136,0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D4</w:t>
            </w:r>
          </w:p>
        </w:tc>
        <w:tc>
          <w:p>
            <w:pPr>
              <w:pStyle w:val="Compact"/>
              <w:jc w:val="left"/>
            </w:pPr>
            <w:r>
              <w:t xml:space="preserve">24 912,0</w:t>
            </w:r>
          </w:p>
        </w:tc>
        <w:tc>
          <w:p>
            <w:pPr>
              <w:pStyle w:val="Compact"/>
              <w:jc w:val="left"/>
            </w:pPr>
            <w:r>
              <w:t xml:space="preserve">18 480,0</w:t>
            </w:r>
          </w:p>
        </w:tc>
        <w:tc>
          <w:p>
            <w:pPr>
              <w:pStyle w:val="Compact"/>
              <w:jc w:val="left"/>
            </w:pPr>
            <w:r>
              <w:t xml:space="preserve">21 048,0</w:t>
            </w:r>
          </w:p>
        </w:tc>
        <w:tc>
          <w:p>
            <w:pPr>
              <w:pStyle w:val="Compact"/>
              <w:jc w:val="left"/>
            </w:pPr>
            <w:r>
              <w:t xml:space="preserve">18 708,0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D5</w:t>
            </w:r>
          </w:p>
        </w:tc>
        <w:tc>
          <w:p>
            <w:pPr>
              <w:pStyle w:val="Compact"/>
              <w:jc w:val="left"/>
            </w:pPr>
            <w:r>
              <w:t xml:space="preserve">26 832,0</w:t>
            </w:r>
          </w:p>
        </w:tc>
        <w:tc>
          <w:p>
            <w:pPr>
              <w:pStyle w:val="Compact"/>
              <w:jc w:val="left"/>
            </w:pPr>
            <w:r>
              <w:t xml:space="preserve">19 632,0</w:t>
            </w:r>
          </w:p>
        </w:tc>
        <w:tc>
          <w:p>
            <w:pPr>
              <w:pStyle w:val="Compact"/>
              <w:jc w:val="left"/>
            </w:pPr>
            <w:r>
              <w:t xml:space="preserve">22 596,0</w:t>
            </w:r>
          </w:p>
        </w:tc>
        <w:tc>
          <w:p>
            <w:pPr>
              <w:pStyle w:val="Compact"/>
              <w:jc w:val="left"/>
            </w:pPr>
            <w:r>
              <w:t xml:space="preserve">20 544,0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D6</w:t>
            </w:r>
          </w:p>
        </w:tc>
        <w:tc>
          <w:p>
            <w:pPr>
              <w:pStyle w:val="Compact"/>
              <w:jc w:val="left"/>
            </w:pPr>
            <w:r>
              <w:t xml:space="preserve">28 944,0</w:t>
            </w:r>
          </w:p>
        </w:tc>
        <w:tc>
          <w:p>
            <w:pPr>
              <w:pStyle w:val="Compact"/>
              <w:jc w:val="left"/>
            </w:pPr>
            <w:r>
              <w:t xml:space="preserve">21 012,0</w:t>
            </w:r>
          </w:p>
        </w:tc>
        <w:tc>
          <w:p>
            <w:pPr>
              <w:pStyle w:val="Compact"/>
              <w:jc w:val="left"/>
            </w:pPr>
            <w:r>
              <w:t xml:space="preserve">24 504,0</w:t>
            </w:r>
          </w:p>
        </w:tc>
        <w:tc>
          <w:p>
            <w:pPr>
              <w:pStyle w:val="Compact"/>
              <w:jc w:val="left"/>
            </w:pPr>
            <w:r>
              <w:t xml:space="preserve">22 824,0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D7</w:t>
            </w:r>
          </w:p>
        </w:tc>
        <w:tc>
          <w:p>
            <w:pPr>
              <w:pStyle w:val="Compact"/>
              <w:jc w:val="left"/>
            </w:pPr>
            <w:r>
              <w:t xml:space="preserve">31 632,0</w:t>
            </w:r>
          </w:p>
        </w:tc>
        <w:tc>
          <w:p>
            <w:pPr>
              <w:pStyle w:val="Compact"/>
              <w:jc w:val="left"/>
            </w:pPr>
            <w:r>
              <w:t xml:space="preserve">22 860,0</w:t>
            </w:r>
          </w:p>
        </w:tc>
        <w:tc>
          <w:p>
            <w:pPr>
              <w:pStyle w:val="Compact"/>
              <w:jc w:val="left"/>
            </w:pPr>
            <w:r>
              <w:t xml:space="preserve">27 216,0</w:t>
            </w:r>
          </w:p>
        </w:tc>
        <w:tc>
          <w:p>
            <w:pPr>
              <w:pStyle w:val="Compact"/>
              <w:jc w:val="left"/>
            </w:pPr>
            <w:r>
              <w:t xml:space="preserve">25 872,0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D8</w:t>
            </w:r>
          </w:p>
        </w:tc>
        <w:tc>
          <w:p>
            <w:pPr>
              <w:pStyle w:val="Compact"/>
              <w:jc w:val="left"/>
            </w:pPr>
            <w:r>
              <w:t xml:space="preserve">35 592,0</w:t>
            </w:r>
          </w:p>
        </w:tc>
        <w:tc>
          <w:p>
            <w:pPr>
              <w:pStyle w:val="Compact"/>
              <w:jc w:val="left"/>
            </w:pPr>
            <w:r>
              <w:t xml:space="preserve">25 596,0</w:t>
            </w:r>
          </w:p>
        </w:tc>
        <w:tc>
          <w:p>
            <w:pPr>
              <w:pStyle w:val="Compact"/>
              <w:jc w:val="left"/>
            </w:pPr>
            <w:r>
              <w:t xml:space="preserve">30 996,0</w:t>
            </w:r>
          </w:p>
        </w:tc>
        <w:tc>
          <w:p>
            <w:pPr>
              <w:pStyle w:val="Compact"/>
              <w:jc w:val="left"/>
            </w:pPr>
            <w:r>
              <w:t xml:space="preserve">30 828,0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D9</w:t>
            </w:r>
          </w:p>
        </w:tc>
        <w:tc>
          <w:p>
            <w:pPr>
              <w:pStyle w:val="Compact"/>
              <w:jc w:val="left"/>
            </w:pPr>
            <w:r>
              <w:t xml:space="preserve">42 456,0</w:t>
            </w:r>
          </w:p>
        </w:tc>
        <w:tc>
          <w:p>
            <w:pPr>
              <w:pStyle w:val="Compact"/>
              <w:jc w:val="left"/>
            </w:pPr>
            <w:r>
              <w:t xml:space="preserve">30 876,0</w:t>
            </w:r>
          </w:p>
        </w:tc>
        <w:tc>
          <w:p>
            <w:pPr>
              <w:pStyle w:val="Compact"/>
              <w:jc w:val="left"/>
            </w:pPr>
            <w:r>
              <w:t xml:space="preserve">37 812,0</w:t>
            </w:r>
          </w:p>
        </w:tc>
        <w:tc>
          <w:p>
            <w:pPr>
              <w:pStyle w:val="Compact"/>
              <w:jc w:val="left"/>
            </w:pPr>
            <w:r>
              <w:t xml:space="preserve">40 800,0</w:t>
            </w:r>
          </w:p>
        </w:tc>
      </w:tr>
    </w:tbl>
    <w:p>
      <w:r>
        <w:rPr>
          <w:b/>
        </w:rPr>
        <w:t xml:space="preserve">Distribution des salaires nets annuels en EQTP dans la fonction publique territoriale par catégorie en 2011</w:t>
      </w:r>
    </w:p>
    <w:p>
      <w:r>
        <w:t xml:space="preserve"> </w:t>
      </w:r>
      <w:r>
        <w:rPr>
          <w:i/>
        </w:rPr>
        <w:t xml:space="preserve">Tableau 47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Décile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Catégorie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Catégorie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Catégorie 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Autres salariés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D1</w:t>
            </w:r>
          </w:p>
        </w:tc>
        <w:tc>
          <w:p>
            <w:pPr>
              <w:pStyle w:val="Compact"/>
              <w:jc w:val="left"/>
            </w:pPr>
            <w:r>
              <w:t xml:space="preserve">26 040,0</w:t>
            </w:r>
          </w:p>
        </w:tc>
        <w:tc>
          <w:p>
            <w:pPr>
              <w:pStyle w:val="Compact"/>
              <w:jc w:val="left"/>
            </w:pPr>
            <w:r>
              <w:t xml:space="preserve">20 580,0</w:t>
            </w:r>
          </w:p>
        </w:tc>
        <w:tc>
          <w:p>
            <w:pPr>
              <w:pStyle w:val="Compact"/>
              <w:jc w:val="left"/>
            </w:pPr>
            <w:r>
              <w:t xml:space="preserve">15 972,0</w:t>
            </w:r>
          </w:p>
        </w:tc>
        <w:tc>
          <w:p>
            <w:pPr>
              <w:pStyle w:val="Compact"/>
              <w:jc w:val="left"/>
            </w:pPr>
            <w:r>
              <w:t xml:space="preserve">13 620,0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p>
            <w:pPr>
              <w:pStyle w:val="Compact"/>
              <w:jc w:val="left"/>
            </w:pPr>
            <w:r>
              <w:t xml:space="preserve">28 992,0</w:t>
            </w:r>
          </w:p>
        </w:tc>
        <w:tc>
          <w:p>
            <w:pPr>
              <w:pStyle w:val="Compact"/>
              <w:jc w:val="left"/>
            </w:pPr>
            <w:r>
              <w:t xml:space="preserve">22 272,0</w:t>
            </w:r>
          </w:p>
        </w:tc>
        <w:tc>
          <w:p>
            <w:pPr>
              <w:pStyle w:val="Compact"/>
              <w:jc w:val="left"/>
            </w:pPr>
            <w:r>
              <w:t xml:space="preserve">16 896,0</w:t>
            </w:r>
          </w:p>
        </w:tc>
        <w:tc>
          <w:p>
            <w:pPr>
              <w:pStyle w:val="Compact"/>
              <w:jc w:val="left"/>
            </w:pPr>
            <w:r>
              <w:t xml:space="preserve">14 340,0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p>
            <w:pPr>
              <w:pStyle w:val="Compact"/>
              <w:jc w:val="left"/>
            </w:pPr>
            <w:r>
              <w:t xml:space="preserve">31 272,0</w:t>
            </w:r>
          </w:p>
        </w:tc>
        <w:tc>
          <w:p>
            <w:pPr>
              <w:pStyle w:val="Compact"/>
              <w:jc w:val="left"/>
            </w:pPr>
            <w:r>
              <w:t xml:space="preserve">23 652,0</w:t>
            </w:r>
          </w:p>
        </w:tc>
        <w:tc>
          <w:p>
            <w:pPr>
              <w:pStyle w:val="Compact"/>
              <w:jc w:val="left"/>
            </w:pPr>
            <w:r>
              <w:t xml:space="preserve">17 652,0</w:t>
            </w:r>
          </w:p>
        </w:tc>
        <w:tc>
          <w:p>
            <w:pPr>
              <w:pStyle w:val="Compact"/>
              <w:jc w:val="left"/>
            </w:pPr>
            <w:r>
              <w:t xml:space="preserve">15 024,0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D4</w:t>
            </w:r>
          </w:p>
        </w:tc>
        <w:tc>
          <w:p>
            <w:pPr>
              <w:pStyle w:val="Compact"/>
              <w:jc w:val="left"/>
            </w:pPr>
            <w:r>
              <w:t xml:space="preserve">33 468,0</w:t>
            </w:r>
          </w:p>
        </w:tc>
        <w:tc>
          <w:p>
            <w:pPr>
              <w:pStyle w:val="Compact"/>
              <w:jc w:val="left"/>
            </w:pPr>
            <w:r>
              <w:t xml:space="preserve">24 960,0</w:t>
            </w:r>
          </w:p>
        </w:tc>
        <w:tc>
          <w:p>
            <w:pPr>
              <w:pStyle w:val="Compact"/>
              <w:jc w:val="left"/>
            </w:pPr>
            <w:r>
              <w:t xml:space="preserve">18 360,0</w:t>
            </w:r>
          </w:p>
        </w:tc>
        <w:tc>
          <w:p>
            <w:pPr>
              <w:pStyle w:val="Compact"/>
              <w:jc w:val="left"/>
            </w:pPr>
            <w:r>
              <w:t xml:space="preserve">15 684,0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D5</w:t>
            </w:r>
          </w:p>
        </w:tc>
        <w:tc>
          <w:p>
            <w:pPr>
              <w:pStyle w:val="Compact"/>
              <w:jc w:val="left"/>
            </w:pPr>
            <w:r>
              <w:t xml:space="preserve">35 820,0</w:t>
            </w:r>
          </w:p>
        </w:tc>
        <w:tc>
          <w:p>
            <w:pPr>
              <w:pStyle w:val="Compact"/>
              <w:jc w:val="left"/>
            </w:pPr>
            <w:r>
              <w:t xml:space="preserve">26 244,0</w:t>
            </w:r>
          </w:p>
        </w:tc>
        <w:tc>
          <w:p>
            <w:pPr>
              <w:pStyle w:val="Compact"/>
              <w:jc w:val="left"/>
            </w:pPr>
            <w:r>
              <w:t xml:space="preserve">19 164,0</w:t>
            </w:r>
          </w:p>
        </w:tc>
        <w:tc>
          <w:p>
            <w:pPr>
              <w:pStyle w:val="Compact"/>
              <w:jc w:val="left"/>
            </w:pPr>
            <w:r>
              <w:t xml:space="preserve">16 368,0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D6</w:t>
            </w:r>
          </w:p>
        </w:tc>
        <w:tc>
          <w:p>
            <w:pPr>
              <w:pStyle w:val="Compact"/>
              <w:jc w:val="left"/>
            </w:pPr>
            <w:r>
              <w:t xml:space="preserve">38 664,0</w:t>
            </w:r>
          </w:p>
        </w:tc>
        <w:tc>
          <w:p>
            <w:pPr>
              <w:pStyle w:val="Compact"/>
              <w:jc w:val="left"/>
            </w:pPr>
            <w:r>
              <w:t xml:space="preserve">27 636,0</w:t>
            </w:r>
          </w:p>
        </w:tc>
        <w:tc>
          <w:p>
            <w:pPr>
              <w:pStyle w:val="Compact"/>
              <w:jc w:val="left"/>
            </w:pPr>
            <w:r>
              <w:t xml:space="preserve">20 100,0</w:t>
            </w:r>
          </w:p>
        </w:tc>
        <w:tc>
          <w:p>
            <w:pPr>
              <w:pStyle w:val="Compact"/>
              <w:jc w:val="left"/>
            </w:pPr>
            <w:r>
              <w:t xml:space="preserve">17 232,0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D7</w:t>
            </w:r>
          </w:p>
        </w:tc>
        <w:tc>
          <w:p>
            <w:pPr>
              <w:pStyle w:val="Compact"/>
              <w:jc w:val="left"/>
            </w:pPr>
            <w:r>
              <w:t xml:space="preserve">42 276,0</w:t>
            </w:r>
          </w:p>
        </w:tc>
        <w:tc>
          <w:p>
            <w:pPr>
              <w:pStyle w:val="Compact"/>
              <w:jc w:val="left"/>
            </w:pPr>
            <w:r>
              <w:t xml:space="preserve">29 160,0</w:t>
            </w:r>
          </w:p>
        </w:tc>
        <w:tc>
          <w:p>
            <w:pPr>
              <w:pStyle w:val="Compact"/>
              <w:jc w:val="left"/>
            </w:pPr>
            <w:r>
              <w:t xml:space="preserve">21 216,0</w:t>
            </w:r>
          </w:p>
        </w:tc>
        <w:tc>
          <w:p>
            <w:pPr>
              <w:pStyle w:val="Compact"/>
              <w:jc w:val="left"/>
            </w:pPr>
            <w:r>
              <w:t xml:space="preserve">18 480,0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D8</w:t>
            </w:r>
          </w:p>
        </w:tc>
        <w:tc>
          <w:p>
            <w:pPr>
              <w:pStyle w:val="Compact"/>
              <w:jc w:val="left"/>
            </w:pPr>
            <w:r>
              <w:t xml:space="preserve">47 124,0</w:t>
            </w:r>
          </w:p>
        </w:tc>
        <w:tc>
          <w:p>
            <w:pPr>
              <w:pStyle w:val="Compact"/>
              <w:jc w:val="left"/>
            </w:pPr>
            <w:r>
              <w:t xml:space="preserve">30 984,0</w:t>
            </w:r>
          </w:p>
        </w:tc>
        <w:tc>
          <w:p>
            <w:pPr>
              <w:pStyle w:val="Compact"/>
              <w:jc w:val="left"/>
            </w:pPr>
            <w:r>
              <w:t xml:space="preserve">22 680,0</w:t>
            </w:r>
          </w:p>
        </w:tc>
        <w:tc>
          <w:p>
            <w:pPr>
              <w:pStyle w:val="Compact"/>
              <w:jc w:val="left"/>
            </w:pPr>
            <w:r>
              <w:t xml:space="preserve">20 784,0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D9</w:t>
            </w:r>
          </w:p>
        </w:tc>
        <w:tc>
          <w:p>
            <w:pPr>
              <w:pStyle w:val="Compact"/>
              <w:jc w:val="left"/>
            </w:pPr>
            <w:r>
              <w:t xml:space="preserve">54 840,0</w:t>
            </w:r>
          </w:p>
        </w:tc>
        <w:tc>
          <w:p>
            <w:pPr>
              <w:pStyle w:val="Compact"/>
              <w:jc w:val="left"/>
            </w:pPr>
            <w:r>
              <w:t xml:space="preserve">33 804,0</w:t>
            </w:r>
          </w:p>
        </w:tc>
        <w:tc>
          <w:p>
            <w:pPr>
              <w:pStyle w:val="Compact"/>
              <w:jc w:val="left"/>
            </w:pPr>
            <w:r>
              <w:t xml:space="preserve">24 996,0</w:t>
            </w:r>
          </w:p>
        </w:tc>
        <w:tc>
          <w:p>
            <w:pPr>
              <w:pStyle w:val="Compact"/>
              <w:jc w:val="left"/>
            </w:pPr>
            <w:r>
              <w:t xml:space="preserve">26 916,0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</w:t>
            </w:r>
          </w:p>
        </w:tc>
        <w:tc>
          <w:p>
            <w:pPr>
              <w:pStyle w:val="Compact"/>
              <w:jc w:val="left"/>
            </w:pPr>
            <w:r>
              <w:t xml:space="preserve">21 876,0</w:t>
            </w:r>
          </w:p>
        </w:tc>
        <w:tc>
          <w:p>
            <w:pPr>
              <w:pStyle w:val="Compact"/>
              <w:jc w:val="left"/>
            </w:pPr>
            <w:r>
              <w:t xml:space="preserve">38 700,0</w:t>
            </w:r>
          </w:p>
        </w:tc>
        <w:tc>
          <w:p>
            <w:pPr>
              <w:pStyle w:val="Compact"/>
              <w:jc w:val="left"/>
            </w:pPr>
            <w:r>
              <w:t xml:space="preserve">26 928,0</w:t>
            </w:r>
          </w:p>
        </w:tc>
        <w:tc>
          <w:p>
            <w:pPr>
              <w:pStyle w:val="Compact"/>
              <w:jc w:val="left"/>
            </w:pPr>
            <w:r>
              <w:t xml:space="preserve">20 016,0</w:t>
            </w:r>
          </w:p>
        </w:tc>
      </w:tr>
    </w:tbl>
    <w:p>
      <w:hyperlink r:id="rId74">
        <w:r>
          <w:rPr>
            <w:rStyle w:val="Link"/>
          </w:rPr>
          <w:t xml:space="preserve">Source INSEE, onglets Figure3, F1web et F3web</w:t>
        </w:r>
      </w:hyperlink>
    </w:p>
    <w:p>
      <w:hyperlink r:id="rId81">
        <w:r>
          <w:rPr>
            <w:rStyle w:val="Link"/>
          </w:rPr>
          <w:t xml:space="preserve">Lien vers la base de données</w:t>
        </w:r>
      </w:hyperlink>
    </w:p>
    <w:p>
      <w:pPr>
        <w:pStyle w:val="Heading3"/>
      </w:pPr>
      <w:bookmarkStart w:id="85" w:name="fonctionnaires"/>
      <w:bookmarkEnd w:id="85"/>
      <w:r>
        <w:t xml:space="preserve">4.2.2 Fonctionnaires</w:t>
      </w:r>
    </w:p>
    <w:p>
      <w:r>
        <w:rPr>
          <w:b/>
        </w:rPr>
        <w:t xml:space="preserve">Titulaires et stagiaires</w:t>
      </w:r>
    </w:p>
    <w:p>
      <w:r>
        <w:rPr>
          <w:b/>
        </w:rPr>
        <w:t xml:space="preserve">Salaire net moyen par tête (SMPT net) en EQTP</w:t>
      </w:r>
      <w:r>
        <w:br w:type="textWrapping"/>
      </w:r>
      <w:r>
        <w:rPr>
          <w:b/>
        </w:rPr>
        <w:t xml:space="preserve">Ensemble</w:t>
      </w:r>
    </w:p>
    <w:p>
      <w:r>
        <w:t xml:space="preserve"> </w:t>
      </w:r>
      <w:r>
        <w:rPr>
          <w:i/>
        </w:rPr>
        <w:t xml:space="preserve">Tableau 48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Rém.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en EQTP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2 875,1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20 986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3 216,7</w:t>
            </w:r>
          </w:p>
        </w:tc>
        <w:tc>
          <w:p>
            <w:pPr>
              <w:pStyle w:val="Compact"/>
              <w:jc w:val="center"/>
            </w:pPr>
            <w:r>
              <w:t xml:space="preserve">24,3</w:t>
            </w:r>
          </w:p>
        </w:tc>
        <w:tc>
          <w:p>
            <w:pPr>
              <w:pStyle w:val="Compact"/>
              <w:jc w:val="center"/>
            </w:pPr>
            <w:r>
              <w:t xml:space="preserve">22 653</w:t>
            </w:r>
          </w:p>
        </w:tc>
        <w:tc>
          <w:p>
            <w:pPr>
              <w:pStyle w:val="Compact"/>
              <w:jc w:val="center"/>
            </w:pPr>
            <w:r>
              <w:t xml:space="preserve">11,3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3 473,5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22 702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3 574,6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23 363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b/>
        </w:rPr>
        <w:t xml:space="preserve">Catégorie A</w:t>
      </w:r>
    </w:p>
    <w:p>
      <w:r>
        <w:t xml:space="preserve"> </w:t>
      </w:r>
      <w:r>
        <w:rPr>
          <w:i/>
        </w:rPr>
        <w:t xml:space="preserve">Tableau 49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Rém.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en EQTP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578,02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38 534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812,31</w:t>
            </w:r>
          </w:p>
        </w:tc>
        <w:tc>
          <w:p>
            <w:pPr>
              <w:pStyle w:val="Compact"/>
              <w:jc w:val="center"/>
            </w:pPr>
            <w:r>
              <w:t xml:space="preserve">47,6</w:t>
            </w:r>
          </w:p>
        </w:tc>
        <w:tc>
          <w:p>
            <w:pPr>
              <w:pStyle w:val="Compact"/>
              <w:jc w:val="center"/>
            </w:pPr>
            <w:r>
              <w:t xml:space="preserve">42 753</w:t>
            </w:r>
          </w:p>
        </w:tc>
        <w:tc>
          <w:p>
            <w:pPr>
              <w:pStyle w:val="Compact"/>
              <w:jc w:val="center"/>
            </w:pPr>
            <w:r>
              <w:t xml:space="preserve">10,7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791,75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39 588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853,4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42 670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b/>
        </w:rPr>
        <w:t xml:space="preserve">Catégorie B</w:t>
      </w:r>
    </w:p>
    <w:p>
      <w:r>
        <w:t xml:space="preserve"> </w:t>
      </w:r>
      <w:r>
        <w:rPr>
          <w:i/>
        </w:rPr>
        <w:t xml:space="preserve">Tableau 50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Rém.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en EQTP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952,38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21 645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1 095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22 346</w:t>
            </w:r>
          </w:p>
        </w:tc>
        <w:tc>
          <w:p>
            <w:pPr>
              <w:pStyle w:val="Compact"/>
              <w:jc w:val="center"/>
            </w:pPr>
            <w:r>
              <w:t xml:space="preserve">8,34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1 225,7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23 127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1 219,5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23 451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b/>
        </w:rPr>
        <w:t xml:space="preserve">Catégorie C</w:t>
      </w:r>
    </w:p>
    <w:p>
      <w:r>
        <w:t xml:space="preserve"> </w:t>
      </w:r>
      <w:r>
        <w:rPr>
          <w:i/>
        </w:rPr>
        <w:t xml:space="preserve">Tableau 51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Rém.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en EQTP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1 344,7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17 240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1 309,5</w:t>
            </w:r>
          </w:p>
        </w:tc>
        <w:tc>
          <w:p>
            <w:pPr>
              <w:pStyle w:val="Compact"/>
              <w:jc w:val="center"/>
            </w:pPr>
            <w:r>
              <w:t xml:space="preserve">11,7</w:t>
            </w:r>
          </w:p>
        </w:tc>
        <w:tc>
          <w:p>
            <w:pPr>
              <w:pStyle w:val="Compact"/>
              <w:jc w:val="center"/>
            </w:pPr>
            <w:r>
              <w:t xml:space="preserve">17 695</w:t>
            </w:r>
          </w:p>
        </w:tc>
        <w:tc>
          <w:p>
            <w:pPr>
              <w:pStyle w:val="Compact"/>
              <w:jc w:val="center"/>
            </w:pPr>
            <w:r>
              <w:t xml:space="preserve">7,54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1 456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18 200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1 501,8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18 540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b/>
        </w:rPr>
        <w:t xml:space="preserve">Effet de noria sur salaires nets et taux de remplacements</w:t>
      </w:r>
    </w:p>
    <w:p>
      <w:r>
        <w:t xml:space="preserve"> </w:t>
      </w:r>
      <w:r>
        <w:rPr>
          <w:i/>
        </w:rPr>
        <w:t xml:space="preserve">Tableau 52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Noria EQTP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En % de la MSN N-1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Remplacements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Taux de remplacements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1 786,2</w:t>
            </w:r>
          </w:p>
        </w:tc>
        <w:tc>
          <w:p>
            <w:pPr>
              <w:pStyle w:val="Compact"/>
              <w:jc w:val="center"/>
            </w:pPr>
            <w:r>
              <w:t xml:space="preserve">16,8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center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-57 491</w:t>
            </w:r>
          </w:p>
        </w:tc>
        <w:tc>
          <w:p>
            <w:pPr>
              <w:pStyle w:val="Compact"/>
              <w:jc w:val="center"/>
            </w:pPr>
            <w:r>
              <w:t xml:space="preserve">-11,4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1,8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7 951,4</w:t>
            </w:r>
          </w:p>
        </w:tc>
        <w:tc>
          <w:p>
            <w:pPr>
              <w:pStyle w:val="Compact"/>
              <w:jc w:val="center"/>
            </w:pPr>
            <w:r>
              <w:t xml:space="preserve">1,37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1,8</w:t>
            </w:r>
          </w:p>
        </w:tc>
      </w:tr>
    </w:tbl>
    <w:p>
      <w:r>
        <w:rPr>
          <w:i/>
        </w:rPr>
        <w:t xml:space="preserve">MS N-1 : masse salariale nette de l'année n-1.</w:t>
      </w:r>
    </w:p>
    <w:p>
      <w:r>
        <w:rPr>
          <w:b/>
        </w:rPr>
        <w:t xml:space="preserve">Distribution et variation sur la période du salaire moyen net par tête (SMPT net) en EQTP</w:t>
      </w:r>
    </w:p>
    <w:p>
      <w:r>
        <w:t xml:space="preserve"> </w:t>
      </w:r>
      <w:r>
        <w:rPr>
          <w:i/>
        </w:rPr>
        <w:t xml:space="preserve">Tableau 53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11 930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16 540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18 840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20 990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22 350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92 590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8 658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17 840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20 640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23 360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24 560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98 580</w:t>
            </w:r>
          </w:p>
        </w:tc>
      </w:tr>
    </w:tbl>
    <w:p>
      <w:r>
        <w:rPr>
          <w:b/>
        </w:rPr>
        <w:t xml:space="preserve">Evolution du SMPT net des titulaires à temps complet</w:t>
      </w:r>
    </w:p>
    <w:p>
      <w:r>
        <w:t xml:space="preserve"> </w:t>
      </w:r>
      <w:r>
        <w:rPr>
          <w:i/>
        </w:rPr>
        <w:t xml:space="preserve">Tableau 54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1 825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21 221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1 843,9</w:t>
            </w:r>
          </w:p>
        </w:tc>
        <w:tc>
          <w:p>
            <w:pPr>
              <w:pStyle w:val="Compact"/>
              <w:jc w:val="center"/>
            </w:pPr>
            <w:r>
              <w:t xml:space="preserve">11,1</w:t>
            </w:r>
          </w:p>
        </w:tc>
        <w:tc>
          <w:p>
            <w:pPr>
              <w:pStyle w:val="Compact"/>
              <w:jc w:val="center"/>
            </w:pPr>
            <w:r>
              <w:t xml:space="preserve">22 215</w:t>
            </w:r>
          </w:p>
        </w:tc>
        <w:tc>
          <w:p>
            <w:pPr>
              <w:pStyle w:val="Compact"/>
              <w:jc w:val="center"/>
            </w:pPr>
            <w:r>
              <w:t xml:space="preserve">12,4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1 947,7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23 467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2 027,3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23 851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b/>
        </w:rPr>
        <w:t xml:space="preserve">Distribution et variation sur la période du salaire moyen net par tête (SMPT net) des titulaires à temps complet</w:t>
      </w:r>
    </w:p>
    <w:p>
      <w:r>
        <w:t xml:space="preserve"> </w:t>
      </w:r>
      <w:r>
        <w:rPr>
          <w:i/>
        </w:rPr>
        <w:t xml:space="preserve">Tableau 55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11 930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16 500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18 880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21 220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92 590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14 190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17 820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20 450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23 850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23 720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98 580</w:t>
            </w:r>
          </w:p>
        </w:tc>
      </w:tr>
    </w:tbl>
    <w:p>
      <w:hyperlink r:id="rId81">
        <w:r>
          <w:rPr>
            <w:rStyle w:val="Link"/>
          </w:rPr>
          <w:t xml:space="preserve">Lien vers la base de données</w:t>
        </w:r>
      </w:hyperlink>
    </w:p>
    <w:p>
      <w:pPr>
        <w:pStyle w:val="Heading2"/>
      </w:pPr>
      <w:bookmarkStart w:id="86" w:name="glissement-vieillesse-technicite-gvt"/>
      <w:bookmarkEnd w:id="86"/>
      <w:r>
        <w:t xml:space="preserve">4.3 Glissement vieillesse-technicité (GVT)</w:t>
      </w:r>
    </w:p>
    <w:p>
      <w:pPr>
        <w:pStyle w:val="Heading3"/>
      </w:pPr>
      <w:bookmarkStart w:id="87" w:name="ensemble-des-personnels"/>
      <w:bookmarkEnd w:id="87"/>
      <w:r>
        <w:t xml:space="preserve">4.3.1 Ensemble des personnels</w:t>
      </w:r>
    </w:p>
    <w:p>
      <w:r>
        <w:rPr>
          <w:i/>
        </w:rPr>
        <w:t xml:space="preserve">Cette section est consacrée à la rémunération moyenne des personnes en place (RMPP), définies comme présentes deux années entières consécutives avec la même quotité</w:t>
      </w:r>
      <w:r>
        <w:br w:type="textWrapping"/>
      </w:r>
      <w:r>
        <w:rPr>
          <w:i/>
        </w:rPr>
        <w:t xml:space="preserve">L'évolution de la RMPP permet d'étudier le glissement vieillesse-technicité "positif", à effectifs constants sur deux années</w:t>
      </w:r>
      <w:r>
        <w:br w:type="textWrapping"/>
      </w:r>
      <w:r>
        <w:rPr>
          <w:i/>
        </w:rPr>
        <w:t xml:space="preserve">Le GVT positif est dû aux mesures statutaires et individuelles, à l'avancement et aux changements d'activité</w:t>
      </w:r>
    </w:p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Evolution de la RMPP nette en EQTP</w:t>
      </w:r>
    </w:p>
    <w:p>
      <w:r>
        <w:t xml:space="preserve"> </w:t>
      </w:r>
      <w:r>
        <w:rPr>
          <w:i/>
        </w:rPr>
        <w:t xml:space="preserve">Tableau 56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RMPP nette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2 979,3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22 570</w:t>
            </w: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3 464,8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23 098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b/>
        </w:rPr>
        <w:t xml:space="preserve">Distribution et variation sur la période de la rémunération nette des personnes en place</w:t>
      </w:r>
    </w:p>
    <w:p>
      <w:r>
        <w:t xml:space="preserve"> </w:t>
      </w:r>
      <w:r>
        <w:rPr>
          <w:i/>
        </w:rPr>
        <w:t xml:space="preserve">Tableau 57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</w:pPr>
          </w:p>
        </w:tc>
      </w:tr>
    </w:tbl>
    <w:p>
      <w:r>
        <w:t xml:space="preserve"> </w:t>
      </w:r>
      <w:r>
        <w:rPr>
          <w:i/>
        </w:rPr>
        <w:t xml:space="preserve">Tableau 58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11 120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17 710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20 230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22 500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23 660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98 580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i/>
        </w:rPr>
        <w:t xml:space="preserve">Variation individuelle de rémunération nette en EQTP pour les personnels présents la première et la dernière année</w:t>
      </w:r>
    </w:p>
    <w:p>
      <w:r>
        <w:t xml:space="preserve"> </w:t>
      </w:r>
      <w:r>
        <w:rPr>
          <w:i/>
        </w:rPr>
        <w:t xml:space="preserve">Tableau 59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annuelle moyenne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logical</w:t>
            </w:r>
          </w:p>
        </w:tc>
        <w:tc>
          <w:p>
            <w:pPr>
              <w:pStyle w:val="Compact"/>
              <w:jc w:val="right"/>
            </w:pPr>
            <w:r>
              <w:t xml:space="preserve">logical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NA's:0</w:t>
            </w:r>
          </w:p>
        </w:tc>
        <w:tc>
          <w:p>
            <w:pPr>
              <w:pStyle w:val="Compact"/>
              <w:jc w:val="right"/>
            </w:pPr>
            <w:r>
              <w:t xml:space="preserve">NA's:0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89" w:name="titulaires-et-stagiaires"/>
      <w:bookmarkEnd w:id="89"/>
      <w:r>
        <w:t xml:space="preserve">4.3.2 Titulaires et stagiaires</w:t>
      </w:r>
    </w:p>
    <w:p>
      <w:r>
        <w:rPr>
          <w:b/>
        </w:rPr>
        <w:t xml:space="preserve">Evolution de la RMPP nette en EQTP</w:t>
      </w:r>
    </w:p>
    <w:p>
      <w:r>
        <w:t xml:space="preserve"> </w:t>
      </w:r>
      <w:r>
        <w:rPr>
          <w:i/>
        </w:rPr>
        <w:t xml:space="preserve">Tableau 60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RMPP nette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2 682,3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22 925</w:t>
            </w: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2 726,8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23 306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b/>
        </w:rPr>
        <w:t xml:space="preserve">Distribution et variation sur la période de la rémunération nette des fonctionnaires en place</w:t>
      </w:r>
    </w:p>
    <w:p>
      <w:r>
        <w:t xml:space="preserve"> </w:t>
      </w:r>
      <w:r>
        <w:rPr>
          <w:i/>
        </w:rPr>
        <w:t xml:space="preserve">Tableau 61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</w:pPr>
          </w:p>
        </w:tc>
      </w:tr>
    </w:tbl>
    <w:p>
      <w:r>
        <w:t xml:space="preserve"> </w:t>
      </w:r>
      <w:r>
        <w:rPr>
          <w:i/>
        </w:rPr>
        <w:t xml:space="preserve">Tableau 62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11 930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17 350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20 020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22 690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23 690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98 580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i/>
        </w:rPr>
        <w:t xml:space="preserve">Variation individuelle de rémunération nette en EQTP pour les personnels présents la première et la dernière année</w:t>
      </w:r>
    </w:p>
    <w:p>
      <w:r>
        <w:t xml:space="preserve"> </w:t>
      </w:r>
      <w:r>
        <w:rPr>
          <w:i/>
        </w:rPr>
        <w:t xml:space="preserve">Tableau 63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annuelle moyenne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logical</w:t>
            </w:r>
          </w:p>
        </w:tc>
        <w:tc>
          <w:p>
            <w:pPr>
              <w:pStyle w:val="Compact"/>
              <w:jc w:val="right"/>
            </w:pPr>
            <w:r>
              <w:t xml:space="preserve">logical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NA's:0</w:t>
            </w:r>
          </w:p>
        </w:tc>
        <w:tc>
          <w:p>
            <w:pPr>
              <w:pStyle w:val="Compact"/>
              <w:jc w:val="right"/>
            </w:pPr>
            <w:r>
              <w:t xml:space="preserve">NA's:0</w:t>
            </w:r>
          </w:p>
        </w:tc>
        <w:tc>
          <w:p>
            <w:pPr>
              <w:pStyle w:val="Compact"/>
            </w:pPr>
          </w:p>
        </w:tc>
      </w:tr>
    </w:tbl>
    <w:p>
      <w:hyperlink r:id="rId81">
        <w:r>
          <w:rPr>
            <w:rStyle w:val="Link"/>
          </w:rPr>
          <w:t xml:space="preserve">Lien vers la base de données</w:t>
        </w:r>
      </w:hyperlink>
    </w:p>
    <w:p>
      <w:r>
        <w:rPr>
          <w:b/>
        </w:rPr>
        <w:t xml:space="preserve">Nota</w:t>
      </w:r>
      <w:r>
        <w:br w:type="textWrapping"/>
      </w:r>
      <w:r>
        <w:rPr>
          <w:i/>
        </w:rPr>
        <w:t xml:space="preserve">Personnes en place :</w:t>
      </w:r>
      <w:r>
        <w:t xml:space="preserve"> </w:t>
      </w:r>
      <w:r>
        <w:t xml:space="preserve">en fonction au moins deux années consécutives sur la période 2010 à 2013</w:t>
      </w:r>
      <w:r>
        <w:br w:type="textWrapping"/>
      </w:r>
      <w:r>
        <w:rPr>
          <w:i/>
        </w:rPr>
        <w:t xml:space="preserve">Variation sur la période d'activité :</w:t>
      </w:r>
      <w:r>
        <w:t xml:space="preserve"> </w:t>
      </w:r>
      <w:r>
        <w:t xml:space="preserve">entre l'arrivée et le départ de la personne</w:t>
      </w:r>
      <w:r>
        <w:br w:type="textWrapping"/>
      </w:r>
      <w:r>
        <w:rPr>
          <w:i/>
        </w:rPr>
        <w:t xml:space="preserve">Variation normalisée :</w:t>
      </w:r>
      <w:r>
        <w:t xml:space="preserve"> </w:t>
      </w:r>
      <w:r>
        <w:t xml:space="preserve">conforme à la définition INSEE (présente en début et en fin de période avec la même quotité)</w:t>
      </w:r>
    </w:p>
    <w:p>
      <w:r>
        <w:rPr>
          <w:b/>
        </w:rPr>
        <w:t xml:space="preserve">Commentaire</w:t>
      </w:r>
      <w:r>
        <w:br w:type="textWrapping"/>
      </w:r>
      <w:r>
        <w:t xml:space="preserve">Les différences éventuelles constatées entre l'évolution de la RMPP au tableau 61 sont dues soit à l'effet de noria soit à l'effet périmètre.</w:t>
      </w:r>
    </w:p>
    <w:p>
      <w:hyperlink r:id="rId81">
        <w:r>
          <w:rPr>
            <w:rStyle w:val="Link"/>
          </w:rPr>
          <w:t xml:space="preserve">Lien vers la base de données</w:t>
        </w:r>
      </w:hyperlink>
    </w:p>
    <w:p>
      <w:pPr>
        <w:pStyle w:val="Heading3"/>
      </w:pPr>
      <w:bookmarkStart w:id="90" w:name="comparaisons-avec-la-situation-nationale-des-remunerations"/>
      <w:bookmarkEnd w:id="90"/>
      <w:r>
        <w:t xml:space="preserve">4.4 Comparaisons avec la situation nationale des rémunérations</w:t>
      </w:r>
    </w:p>
    <w:p>
      <w:r>
        <w:rPr>
          <w:b/>
        </w:rPr>
        <w:t xml:space="preserve">Évolution en euros courants du SMPT et de la RMPP dans la FPT (en % et euros courants)</w:t>
      </w:r>
    </w:p>
    <w:p>
      <w:r>
        <w:t xml:space="preserve"> </w:t>
      </w:r>
      <w:r>
        <w:rPr>
          <w:i/>
        </w:rPr>
        <w:t xml:space="preserve">Tableau 64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2008-09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2009-10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2010-11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2011-12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2012-13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2008-12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Moy. 2008-12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Méd. 2007-11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SMPT brut</w:t>
            </w:r>
          </w:p>
        </w:tc>
        <w:tc>
          <w:p>
            <w:pPr>
              <w:pStyle w:val="Compact"/>
              <w:jc w:val="left"/>
            </w:pPr>
            <w:r>
              <w:t xml:space="preserve">2,5</w:t>
            </w:r>
          </w:p>
        </w:tc>
        <w:tc>
          <w:p>
            <w:pPr>
              <w:pStyle w:val="Compact"/>
              <w:jc w:val="left"/>
            </w:pPr>
            <w:r>
              <w:t xml:space="preserve">1,3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1,7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7,2</w:t>
            </w:r>
          </w:p>
        </w:tc>
        <w:tc>
          <w:p>
            <w:pPr>
              <w:pStyle w:val="Compact"/>
              <w:jc w:val="left"/>
            </w:pPr>
            <w:r>
              <w:t xml:space="preserve">1,8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SMPT net</w:t>
            </w:r>
          </w:p>
        </w:tc>
        <w:tc>
          <w:p>
            <w:pPr>
              <w:pStyle w:val="Compact"/>
              <w:jc w:val="left"/>
            </w:pPr>
            <w:r>
              <w:t xml:space="preserve">3,0</w:t>
            </w:r>
          </w:p>
        </w:tc>
        <w:tc>
          <w:p>
            <w:pPr>
              <w:pStyle w:val="Compact"/>
              <w:jc w:val="left"/>
            </w:pPr>
            <w:r>
              <w:t xml:space="preserve">1,4</w:t>
            </w:r>
          </w:p>
        </w:tc>
        <w:tc>
          <w:p>
            <w:pPr>
              <w:pStyle w:val="Compact"/>
              <w:jc w:val="left"/>
            </w:pPr>
            <w:r>
              <w:t xml:space="preserve">1,3</w:t>
            </w:r>
          </w:p>
        </w:tc>
        <w:tc>
          <w:p>
            <w:pPr>
              <w:pStyle w:val="Compact"/>
              <w:jc w:val="left"/>
            </w:pPr>
            <w:r>
              <w:t xml:space="preserve">1,4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7,3</w:t>
            </w:r>
          </w:p>
        </w:tc>
        <w:tc>
          <w:p>
            <w:pPr>
              <w:pStyle w:val="Compact"/>
              <w:jc w:val="left"/>
            </w:pPr>
            <w:r>
              <w:t xml:space="preserve">1,8</w:t>
            </w:r>
          </w:p>
        </w:tc>
        <w:tc>
          <w:p>
            <w:pPr>
              <w:pStyle w:val="Compact"/>
              <w:jc w:val="left"/>
            </w:pPr>
            <w:r>
              <w:t xml:space="preserve">13,4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RMPP brute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2,5</w:t>
            </w:r>
          </w:p>
        </w:tc>
        <w:tc>
          <w:p>
            <w:pPr>
              <w:pStyle w:val="Compact"/>
              <w:jc w:val="left"/>
            </w:pPr>
            <w:r>
              <w:t xml:space="preserve">2,5</w:t>
            </w:r>
          </w:p>
        </w:tc>
        <w:tc>
          <w:p>
            <w:pPr>
              <w:pStyle w:val="Compact"/>
              <w:jc w:val="left"/>
            </w:pPr>
            <w:r>
              <w:t xml:space="preserve">2,7</w:t>
            </w:r>
          </w:p>
        </w:tc>
        <w:tc>
          <w:p>
            <w:pPr>
              <w:pStyle w:val="Compact"/>
              <w:jc w:val="left"/>
            </w:pPr>
            <w:r>
              <w:t xml:space="preserve">1,9</w:t>
            </w:r>
          </w:p>
        </w:tc>
        <w:tc>
          <w:p>
            <w:pPr>
              <w:pStyle w:val="Compact"/>
              <w:jc w:val="left"/>
            </w:pPr>
            <w:r>
              <w:t xml:space="preserve">11,5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RMPP nette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2,5</w:t>
            </w:r>
          </w:p>
        </w:tc>
        <w:tc>
          <w:p>
            <w:pPr>
              <w:pStyle w:val="Compact"/>
              <w:jc w:val="left"/>
            </w:pPr>
            <w:r>
              <w:t xml:space="preserve">2,3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1,6</w:t>
            </w:r>
          </w:p>
        </w:tc>
        <w:tc>
          <w:p>
            <w:pPr>
              <w:pStyle w:val="Compact"/>
              <w:jc w:val="left"/>
            </w:pPr>
            <w:r>
              <w:t xml:space="preserve">10,9</w:t>
            </w:r>
          </w:p>
        </w:tc>
        <w:tc>
          <w:p>
            <w:pPr>
              <w:pStyle w:val="Compact"/>
              <w:jc w:val="left"/>
            </w:pPr>
            <w:r>
              <w:t xml:space="preserve">2,6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i/>
        </w:rPr>
        <w:t xml:space="preserve">Source : fichier général de l'État (FGE), DADS, SIASP, Insee, Drees. Traitement Insee, Drees, DGCL</w:t>
      </w:r>
      <w:r>
        <w:br w:type="textWrapping"/>
      </w:r>
      <w:r>
        <w:t xml:space="preserve">Hors assistants maternels et familiaux, y compris bénéficiaires de contrats aidés.</w:t>
      </w:r>
      <w:r>
        <w:br w:type="textWrapping"/>
      </w:r>
      <w:r>
        <w:t xml:space="preserve">SMPT : Salaire moyen par tête en EQTP.</w:t>
      </w:r>
      <w:r>
        <w:br w:type="textWrapping"/>
      </w:r>
      <w:r>
        <w:t xml:space="preserve">RMPP : Agents présents 24 mois consécutifs chez le même employeur avec la même quotité de travail.</w:t>
      </w:r>
      <w:r>
        <w:br w:type="textWrapping"/>
      </w:r>
      <w:r>
        <w:t xml:space="preserve">Moyenne des variations géométriques annuelles pour les agents du champ.</w:t>
      </w:r>
      <w:r>
        <w:br w:type="textWrapping"/>
      </w:r>
      <w:r>
        <w:t xml:space="preserve">La dernière colonne présente la médiane des augmentations du SMPT net pour les agents présents en 2007 et 2011.</w:t>
      </w:r>
    </w:p>
    <w:p>
      <w:r>
        <w:rPr>
          <w:b/>
        </w:rPr>
        <w:t xml:space="preserve">Salaires nets annuels et évolution moyenne type de collectivité en € courants EQTP</w:t>
      </w:r>
    </w:p>
    <w:p>
      <w:r>
        <w:t xml:space="preserve"> </w:t>
      </w:r>
      <w:r>
        <w:rPr>
          <w:i/>
        </w:rPr>
        <w:t xml:space="preserve">Tableau 65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Collectivité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SMPT net 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SMPT net 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SMPT net 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Evol. Moy. 2007-2011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Communes</w:t>
            </w:r>
          </w:p>
        </w:tc>
        <w:tc>
          <w:p>
            <w:pPr>
              <w:pStyle w:val="Compact"/>
              <w:jc w:val="left"/>
            </w:pPr>
            <w:r>
              <w:t xml:space="preserve">20 784,0</w:t>
            </w:r>
          </w:p>
        </w:tc>
        <w:tc>
          <w:p>
            <w:pPr>
              <w:pStyle w:val="Compact"/>
              <w:jc w:val="left"/>
            </w:pPr>
            <w:r>
              <w:t xml:space="preserve">21 120,0</w:t>
            </w:r>
          </w:p>
        </w:tc>
        <w:tc>
          <w:p>
            <w:pPr>
              <w:pStyle w:val="Compact"/>
              <w:jc w:val="left"/>
            </w:pPr>
            <w:r>
              <w:t xml:space="preserve">21 096,0</w:t>
            </w:r>
          </w:p>
        </w:tc>
        <w:tc>
          <w:p>
            <w:pPr>
              <w:pStyle w:val="Compact"/>
              <w:jc w:val="left"/>
            </w:pPr>
            <w:r>
              <w:t xml:space="preserve">2,5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CCAS et caisses des écoles</w:t>
            </w:r>
          </w:p>
        </w:tc>
        <w:tc>
          <w:p>
            <w:pPr>
              <w:pStyle w:val="Compact"/>
              <w:jc w:val="left"/>
            </w:pPr>
            <w:r>
              <w:t xml:space="preserve">19 415,0</w:t>
            </w:r>
          </w:p>
        </w:tc>
        <w:tc>
          <w:p>
            <w:pPr>
              <w:pStyle w:val="Compact"/>
              <w:jc w:val="left"/>
            </w:pPr>
            <w:r>
              <w:t xml:space="preserve">19 716,0</w:t>
            </w:r>
          </w:p>
        </w:tc>
        <w:tc>
          <w:p>
            <w:pPr>
              <w:pStyle w:val="Compact"/>
              <w:jc w:val="left"/>
            </w:pPr>
            <w:r>
              <w:t xml:space="preserve">19 788,0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EPCI à fiscalité propre</w:t>
            </w:r>
          </w:p>
        </w:tc>
        <w:tc>
          <w:p>
            <w:pPr>
              <w:pStyle w:val="Compact"/>
              <w:jc w:val="left"/>
            </w:pPr>
            <w:r>
              <w:t xml:space="preserve">22 882,0</w:t>
            </w:r>
          </w:p>
        </w:tc>
        <w:tc>
          <w:p>
            <w:pPr>
              <w:pStyle w:val="Compact"/>
              <w:jc w:val="left"/>
            </w:pPr>
            <w:r>
              <w:t xml:space="preserve">23 088,0</w:t>
            </w:r>
          </w:p>
        </w:tc>
        <w:tc>
          <w:p>
            <w:pPr>
              <w:pStyle w:val="Compact"/>
              <w:jc w:val="left"/>
            </w:pPr>
            <w:r>
              <w:t xml:space="preserve">23 184,0</w:t>
            </w:r>
          </w:p>
        </w:tc>
        <w:tc>
          <w:p>
            <w:pPr>
              <w:pStyle w:val="Compact"/>
              <w:jc w:val="left"/>
            </w:pPr>
            <w:r>
              <w:t xml:space="preserve">3,1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Autres structures intercommunales</w:t>
            </w:r>
          </w:p>
        </w:tc>
        <w:tc>
          <w:p>
            <w:pPr>
              <w:pStyle w:val="Compact"/>
              <w:jc w:val="left"/>
            </w:pPr>
            <w:r>
              <w:t xml:space="preserve">21 299,0</w:t>
            </w:r>
          </w:p>
        </w:tc>
        <w:tc>
          <w:p>
            <w:pPr>
              <w:pStyle w:val="Compact"/>
              <w:jc w:val="left"/>
            </w:pPr>
            <w:r>
              <w:t xml:space="preserve">21 684,0</w:t>
            </w:r>
          </w:p>
        </w:tc>
        <w:tc>
          <w:p>
            <w:pPr>
              <w:pStyle w:val="Compact"/>
              <w:jc w:val="left"/>
            </w:pPr>
            <w:r>
              <w:t xml:space="preserve">21 828,0</w:t>
            </w:r>
          </w:p>
        </w:tc>
        <w:tc>
          <w:p>
            <w:pPr>
              <w:pStyle w:val="Compact"/>
              <w:jc w:val="left"/>
            </w:pPr>
            <w:r>
              <w:t xml:space="preserve">3,0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Départements</w:t>
            </w:r>
          </w:p>
        </w:tc>
        <w:tc>
          <w:p>
            <w:pPr>
              <w:pStyle w:val="Compact"/>
              <w:jc w:val="left"/>
            </w:pPr>
            <w:r>
              <w:t xml:space="preserve">24 487,0</w:t>
            </w:r>
          </w:p>
        </w:tc>
        <w:tc>
          <w:p>
            <w:pPr>
              <w:pStyle w:val="Compact"/>
              <w:jc w:val="left"/>
            </w:pPr>
            <w:r>
              <w:t xml:space="preserve">24 744,0</w:t>
            </w:r>
          </w:p>
        </w:tc>
        <w:tc>
          <w:p>
            <w:pPr>
              <w:pStyle w:val="Compact"/>
              <w:jc w:val="left"/>
            </w:pPr>
            <w:r>
              <w:t xml:space="preserve">24 852,0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SDIS</w:t>
            </w:r>
          </w:p>
        </w:tc>
        <w:tc>
          <w:p>
            <w:pPr>
              <w:pStyle w:val="Compact"/>
              <w:jc w:val="left"/>
            </w:pPr>
            <w:r>
              <w:t xml:space="preserve">29 811,0</w:t>
            </w:r>
          </w:p>
        </w:tc>
        <w:tc>
          <w:p>
            <w:pPr>
              <w:pStyle w:val="Compact"/>
              <w:jc w:val="left"/>
            </w:pPr>
            <w:r>
              <w:t xml:space="preserve">29 940,0</w:t>
            </w:r>
          </w:p>
        </w:tc>
        <w:tc>
          <w:p>
            <w:pPr>
              <w:pStyle w:val="Compact"/>
              <w:jc w:val="left"/>
            </w:pPr>
            <w:r>
              <w:t xml:space="preserve">30 180,0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Régions</w:t>
            </w:r>
          </w:p>
        </w:tc>
        <w:tc>
          <w:p>
            <w:pPr>
              <w:pStyle w:val="Compact"/>
              <w:jc w:val="left"/>
            </w:pPr>
            <w:r>
              <w:t xml:space="preserve">22 432,0</w:t>
            </w:r>
          </w:p>
        </w:tc>
        <w:tc>
          <w:p>
            <w:pPr>
              <w:pStyle w:val="Compact"/>
              <w:jc w:val="left"/>
            </w:pPr>
            <w:r>
              <w:t xml:space="preserve">22 836,0</w:t>
            </w:r>
          </w:p>
        </w:tc>
        <w:tc>
          <w:p>
            <w:pPr>
              <w:pStyle w:val="Compact"/>
              <w:jc w:val="left"/>
            </w:pPr>
            <w:r>
              <w:t xml:space="preserve">23 004,0</w:t>
            </w:r>
          </w:p>
        </w:tc>
        <w:tc>
          <w:p>
            <w:pPr>
              <w:pStyle w:val="Compact"/>
              <w:jc w:val="left"/>
            </w:pPr>
            <w:r>
              <w:t xml:space="preserve">3,8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Autres collectivités locales</w:t>
            </w:r>
          </w:p>
        </w:tc>
        <w:tc>
          <w:p>
            <w:pPr>
              <w:pStyle w:val="Compact"/>
              <w:jc w:val="left"/>
            </w:pPr>
            <w:r>
              <w:t xml:space="preserve">24 680,0</w:t>
            </w:r>
          </w:p>
        </w:tc>
        <w:tc>
          <w:p>
            <w:pPr>
              <w:pStyle w:val="Compact"/>
              <w:jc w:val="left"/>
            </w:pPr>
            <w:r>
              <w:t xml:space="preserve">24 696,0</w:t>
            </w:r>
          </w:p>
        </w:tc>
        <w:tc>
          <w:p>
            <w:pPr>
              <w:pStyle w:val="Compact"/>
              <w:jc w:val="left"/>
            </w:pPr>
            <w:r>
              <w:t xml:space="preserve">24 828,0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Ensemble (moyenne)</w:t>
            </w:r>
          </w:p>
        </w:tc>
        <w:tc>
          <w:p>
            <w:pPr>
              <w:pStyle w:val="Compact"/>
              <w:jc w:val="left"/>
            </w:pPr>
            <w:r>
              <w:t xml:space="preserve">21 873,0</w:t>
            </w:r>
          </w:p>
        </w:tc>
        <w:tc>
          <w:p>
            <w:pPr>
              <w:pStyle w:val="Compact"/>
              <w:jc w:val="left"/>
            </w:pPr>
            <w:r>
              <w:t xml:space="preserve">22 176,0</w:t>
            </w:r>
          </w:p>
        </w:tc>
        <w:tc>
          <w:p>
            <w:pPr>
              <w:pStyle w:val="Compact"/>
              <w:jc w:val="left"/>
            </w:pPr>
            <w:r>
              <w:t xml:space="preserve">22 212,0</w:t>
            </w:r>
          </w:p>
        </w:tc>
        <w:tc>
          <w:p>
            <w:pPr>
              <w:pStyle w:val="Compact"/>
              <w:jc w:val="left"/>
            </w:pPr>
            <w:r>
              <w:t xml:space="preserve">2,9</w:t>
            </w:r>
          </w:p>
        </w:tc>
      </w:tr>
    </w:tbl>
    <w:p>
      <w:r>
        <w:rPr>
          <w:i/>
        </w:rPr>
        <w:t xml:space="preserve">Champ : France. Salariés en équivalent-temps plein (EQTP) des collectivités territoriales (y compris bénéficiaires de contrats aidés, hors assistantes maternelles).</w:t>
      </w:r>
      <w:r>
        <w:br w:type="textWrapping"/>
      </w:r>
      <w:r>
        <w:t xml:space="preserve">Conversion en euros courants, calcul CRC.</w:t>
      </w:r>
      <w:r>
        <w:br w:type="textWrapping"/>
      </w:r>
      <w:hyperlink r:id="rId74">
        <w:r>
          <w:rPr>
            <w:rStyle w:val="Link"/>
          </w:rPr>
          <w:t xml:space="preserve">Source INSEE données 2011 obsolètes</w:t>
        </w:r>
      </w:hyperlink>
      <w:r>
        <w:br w:type="textWrapping"/>
      </w:r>
      <w:hyperlink r:id="rId91">
        <w:r>
          <w:rPr>
            <w:rStyle w:val="Link"/>
          </w:rPr>
          <w:t xml:space="preserve">Source DGAFP</w:t>
        </w:r>
      </w:hyperlink>
      <w:r>
        <w:br w:type="textWrapping"/>
      </w:r>
      <w:hyperlink r:id="rId92">
        <w:r>
          <w:rPr>
            <w:rStyle w:val="Link"/>
          </w:rPr>
          <w:t xml:space="preserve">Source PLF 2014 données 2011 révisées p.151</w:t>
        </w:r>
      </w:hyperlink>
      <w:r>
        <w:br w:type="textWrapping"/>
      </w:r>
      <w:hyperlink r:id="rId76">
        <w:r>
          <w:rPr>
            <w:rStyle w:val="Link"/>
          </w:rPr>
          <w:t xml:space="preserve">Source PLF 2015 données 2012 p.130</w:t>
        </w:r>
      </w:hyperlink>
    </w:p>
    <w:p>
      <w:pPr>
        <w:pStyle w:val="Heading1"/>
      </w:pPr>
      <w:bookmarkStart w:id="93" w:name="tests-reglementaires"/>
      <w:bookmarkEnd w:id="93"/>
      <w:r>
        <w:t xml:space="preserve">5. Tests réglementaires</w:t>
      </w:r>
    </w:p>
    <w:p>
      <w:pPr>
        <w:pStyle w:val="Heading2"/>
      </w:pPr>
      <w:bookmarkStart w:id="94" w:name="controle-des-nbi-et-primes-informatiques"/>
      <w:bookmarkEnd w:id="94"/>
      <w:r>
        <w:t xml:space="preserve">5.1 Contrôle des NBI et primes informatiques</w:t>
      </w:r>
    </w:p>
    <w:p>
      <w:r>
        <w:rPr>
          <w:b/>
        </w:rPr>
        <w:t xml:space="preserve">Dans cette partie, l'ensemble de la base de paie est étudié.</w:t>
      </w:r>
      <w:r>
        <w:br w:type="textWrapping"/>
      </w:r>
      <w:r>
        <w:t xml:space="preserve">Les agents non actifs ou dont le poste est annexe sont réintroduits dans le périmètre.</w:t>
      </w:r>
    </w:p>
    <w:p>
      <w:r>
        <w:t xml:space="preserve">Il existe 3 non titulaire s percevant une NBI.</w:t>
      </w:r>
    </w:p>
    <w:p>
      <w:r>
        <w:t xml:space="preserve">Primes informatiques potentielles : PRIME FONCTION INFORMATIQUE</w:t>
      </w:r>
    </w:p>
    <w:p>
      <w:r>
        <w:t xml:space="preserve"> </w:t>
      </w:r>
      <w:r>
        <w:rPr>
          <w:i/>
        </w:rPr>
        <w:t xml:space="preserve">Tableau 66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NBI pour non titulaires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bénéficiaires de PFI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</w:tbl>
    <w:p>
      <w:hyperlink r:id="rId95">
        <w:r>
          <w:rPr>
            <w:rStyle w:val="Link"/>
          </w:rPr>
          <w:t xml:space="preserve">Lien vers la base de données NBI aux non titulaires</w:t>
        </w:r>
      </w:hyperlink>
      <w:r>
        <w:br w:type="textWrapping"/>
      </w:r>
      <w:hyperlink r:id="rId96">
        <w:r>
          <w:rPr>
            <w:rStyle w:val="Link"/>
          </w:rPr>
          <w:t xml:space="preserve">Lien vers la base de données Primes informatiques</w:t>
        </w:r>
      </w:hyperlink>
    </w:p>
    <w:p>
      <w:r>
        <w:rPr>
          <w:b/>
        </w:rPr>
        <w:t xml:space="preserve">Nota :</w:t>
      </w:r>
      <w:r>
        <w:br w:type="textWrapping"/>
      </w:r>
      <w:r>
        <w:t xml:space="preserve">NBI: nouvelle bonification indiciaire</w:t>
      </w:r>
      <w:r>
        <w:br w:type="textWrapping"/>
      </w:r>
      <w:r>
        <w:t xml:space="preserve">PFI: prime de fonctions informatiques</w:t>
      </w:r>
    </w:p>
    <w:p>
      <w:r>
        <w:t xml:space="preserve"> </w:t>
      </w:r>
      <w:r>
        <w:rPr>
          <w:i/>
        </w:rPr>
        <w:t xml:space="preserve">Tableau 67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Rémunérations de NBI anormales, par agent et par exercice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Montants correspondants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15 598</w:t>
            </w:r>
          </w:p>
        </w:tc>
      </w:tr>
    </w:tbl>
    <w:p>
      <w:hyperlink r:id="rId97">
        <w:r>
          <w:rPr>
            <w:rStyle w:val="Link"/>
          </w:rPr>
          <w:t xml:space="preserve">Lien vers la base de données NBI anormales</w:t>
        </w:r>
      </w:hyperlink>
    </w:p>
    <w:p>
      <w:r>
        <w:rPr>
          <w:b/>
        </w:rPr>
        <w:t xml:space="preserve">Nota :</w:t>
      </w:r>
      <w:r>
        <w:br w:type="textWrapping"/>
      </w:r>
      <w:r>
        <w:rPr>
          <w:i/>
        </w:rPr>
        <w:t xml:space="preserve">Est considéré comme manifestement anormal un total annuel de rémunérations NBI correspondant à un point d'indice net mensuel inférieur à 4 euros ou supérieur à 6 euros.</w:t>
      </w:r>
      <w:r>
        <w:br w:type="textWrapping"/>
      </w:r>
      <w:r>
        <w:rPr>
          <w:i/>
        </w:rPr>
        <w:t xml:space="preserve">Les rappels ne sont pas pris en compte dans les montants versés. Certains écarts peuvent être régularisés en les prenant en compte</w:t>
      </w:r>
    </w:p>
    <w:p>
      <w:r>
        <w:t xml:space="preserve"> </w:t>
      </w:r>
      <w:r>
        <w:rPr>
          <w:i/>
        </w:rPr>
        <w:t xml:space="preserve">Tableau 68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Cumuls des NBI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Montants versés (a)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 d'INM apparent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 d'INM moyen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Contrôle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7 650,0</w:t>
            </w:r>
          </w:p>
        </w:tc>
        <w:tc>
          <w:p>
            <w:pPr>
              <w:pStyle w:val="Compact"/>
              <w:jc w:val="left"/>
            </w:pPr>
            <w:r>
              <w:t xml:space="preserve">34 760,4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4,6</w:t>
            </w:r>
          </w:p>
        </w:tc>
        <w:tc>
          <w:p>
            <w:pPr>
              <w:pStyle w:val="Compact"/>
              <w:jc w:val="left"/>
            </w:pPr>
            <w:r>
              <w:t xml:space="preserve">Vert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7 315,0</w:t>
            </w:r>
          </w:p>
        </w:tc>
        <w:tc>
          <w:p>
            <w:pPr>
              <w:pStyle w:val="Compact"/>
              <w:jc w:val="left"/>
            </w:pPr>
            <w:r>
              <w:t xml:space="preserve">32 979,2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4,6</w:t>
            </w:r>
          </w:p>
        </w:tc>
        <w:tc>
          <w:p>
            <w:pPr>
              <w:pStyle w:val="Compact"/>
              <w:jc w:val="left"/>
            </w:pPr>
            <w:r>
              <w:t xml:space="preserve">Vert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7 230,0</w:t>
            </w:r>
          </w:p>
        </w:tc>
        <w:tc>
          <w:p>
            <w:pPr>
              <w:pStyle w:val="Compact"/>
              <w:jc w:val="left"/>
            </w:pPr>
            <w:r>
              <w:t xml:space="preserve">32 487,1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4,6</w:t>
            </w:r>
          </w:p>
        </w:tc>
        <w:tc>
          <w:p>
            <w:pPr>
              <w:pStyle w:val="Compact"/>
              <w:jc w:val="left"/>
            </w:pPr>
            <w:r>
              <w:t xml:space="preserve">Vert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6 335,0</w:t>
            </w:r>
          </w:p>
        </w:tc>
        <w:tc>
          <w:p>
            <w:pPr>
              <w:pStyle w:val="Compact"/>
              <w:jc w:val="left"/>
            </w:pPr>
            <w:r>
              <w:t xml:space="preserve">28 193,9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4,6</w:t>
            </w:r>
          </w:p>
        </w:tc>
        <w:tc>
          <w:p>
            <w:pPr>
              <w:pStyle w:val="Compact"/>
              <w:jc w:val="left"/>
            </w:pPr>
            <w:r>
              <w:t xml:space="preserve">Orange</w:t>
            </w:r>
          </w:p>
        </w:tc>
      </w:tr>
    </w:tbl>
    <w:p>
      <w:r>
        <w:rPr>
          <w:i/>
        </w:rPr>
        <w:t xml:space="preserve">(a) Hors rappels sur rémunérations</w:t>
      </w:r>
    </w:p>
    <w:p>
      <w:hyperlink r:id="rId98">
        <w:r>
          <w:rPr>
            <w:rStyle w:val="Link"/>
          </w:rPr>
          <w:t xml:space="preserve">Lien vers la base de données des cumuls annuels de NBI</w:t>
        </w:r>
      </w:hyperlink>
    </w:p>
    <w:p>
      <w:pPr>
        <w:pStyle w:val="Heading2"/>
      </w:pPr>
      <w:bookmarkStart w:id="99" w:name="controle-des-vacations-pour-les-fonctionnaires"/>
      <w:bookmarkEnd w:id="99"/>
      <w:r>
        <w:t xml:space="preserve">5.2 Contrôle des vacations pour les fonctionnaires</w:t>
      </w:r>
    </w:p>
    <w:p>
      <w:r>
        <w:t xml:space="preserve">Il y a 0 fonctionnaire(s) effectuant des vacations pour son propre établissement. Les bulletins concernés sont donnés en lien.</w:t>
      </w:r>
    </w:p>
    <w:p>
      <w:hyperlink r:id="rId100">
        <w:r>
          <w:rPr>
            <w:rStyle w:val="Link"/>
          </w:rPr>
          <w:t xml:space="preserve">Lien vers les matricules des fonctionnaires concernés</w:t>
        </w:r>
      </w:hyperlink>
      <w:r>
        <w:t xml:space="preserve"> </w:t>
      </w:r>
      <w:hyperlink r:id="rId101">
        <w:r>
          <w:rPr>
            <w:rStyle w:val="Link"/>
          </w:rPr>
          <w:t xml:space="preserve">Lien vers les bulletins de paie correspondants</w:t>
        </w:r>
      </w:hyperlink>
    </w:p>
    <w:p>
      <w:pPr>
        <w:pStyle w:val="Heading2"/>
      </w:pPr>
      <w:bookmarkStart w:id="102" w:name="controles-sur-les-cumuls-traitement-indiciaire-indemnites-et-vacations-des-contractuels"/>
      <w:bookmarkEnd w:id="102"/>
      <w:r>
        <w:t xml:space="preserve">5.3 Contrôles sur les cumuls traitement indiciaire, indemnités et vacations des contractuels</w:t>
      </w:r>
    </w:p>
    <w:p>
      <w:r>
        <w:rPr>
          <w:b/>
        </w:rPr>
        <w:t xml:space="preserve">Contractuels effectuant des vacations (CEV)</w:t>
      </w:r>
    </w:p>
    <w:p>
      <w:r>
        <w:t xml:space="preserve"> </w:t>
      </w:r>
      <w:r>
        <w:rPr>
          <w:i/>
        </w:rPr>
        <w:t xml:space="preserve">Tableau 69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CEV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indemnitaires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de traitement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17 182</w:t>
            </w:r>
          </w:p>
        </w:tc>
        <w:tc>
          <w:p>
            <w:pPr>
              <w:pStyle w:val="Compact"/>
              <w:jc w:val="center"/>
            </w:pPr>
            <w:r>
              <w:t xml:space="preserve">220</w:t>
            </w:r>
          </w:p>
        </w:tc>
        <w:tc>
          <w:p>
            <w:pPr>
              <w:pStyle w:val="Compact"/>
              <w:jc w:val="center"/>
            </w:pPr>
            <w:r>
              <w:t xml:space="preserve">690</w:t>
            </w:r>
          </w:p>
        </w:tc>
      </w:tr>
    </w:tbl>
    <w:p>
      <w:hyperlink r:id="rId103">
        <w:r>
          <w:rPr>
            <w:rStyle w:val="Link"/>
          </w:rPr>
          <w:t xml:space="preserve">Lien vers le bulletins des CEV</w:t>
        </w:r>
      </w:hyperlink>
      <w:r>
        <w:br w:type="textWrapping"/>
      </w:r>
      <w:hyperlink r:id="rId104">
        <w:r>
          <w:rPr>
            <w:rStyle w:val="Link"/>
          </w:rPr>
          <w:t xml:space="preserve">Lien vers la base de données Matricules des CEV</w:t>
        </w:r>
      </w:hyperlink>
      <w:r>
        <w:br w:type="textWrapping"/>
      </w:r>
      <w:hyperlink r:id="rId105">
        <w:r>
          <w:rPr>
            <w:rStyle w:val="Link"/>
          </w:rPr>
          <w:t xml:space="preserve">Lien vers la base de données Cumul régime indemnitaire et vacations de CEV</w:t>
        </w:r>
      </w:hyperlink>
      <w:r>
        <w:br w:type="textWrapping"/>
      </w:r>
      <w:hyperlink r:id="rId106">
        <w:r>
          <w:rPr>
            <w:rStyle w:val="Link"/>
          </w:rPr>
          <w:t xml:space="preserve">Lien vers la base de données Lignes de traitement indiciaire pour CEV</w:t>
        </w:r>
      </w:hyperlink>
    </w:p>
    <w:p>
      <w:pPr>
        <w:pStyle w:val="Heading2"/>
      </w:pPr>
      <w:bookmarkStart w:id="107" w:name="controle-sur-les-indemnites-iat-et-ifts"/>
      <w:bookmarkEnd w:id="107"/>
      <w:r>
        <w:t xml:space="preserve">5.4 Contrôle sur les indemnités IAT et IFTS</w:t>
      </w:r>
    </w:p>
    <w:p>
      <w:r>
        <w:t xml:space="preserve"> </w:t>
      </w:r>
      <w:r>
        <w:rPr>
          <w:i/>
        </w:rPr>
        <w:t xml:space="preserve">Tableau 70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IFTS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160001550 160001425 160001500 160008200 160008150 160001400 160001375 3046 160001250 160001600 160001775 160001300 160001200 160001700 160001525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personnels percevant IAT et IFTS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</w:pPr>
          </w:p>
        </w:tc>
      </w:tr>
    </w:tbl>
    <w:p>
      <w:hyperlink r:id="rId108">
        <w:r>
          <w:rPr>
            <w:rStyle w:val="Link"/>
          </w:rPr>
          <w:t xml:space="preserve">Codes IFTS retenus</w:t>
        </w:r>
      </w:hyperlink>
      <w:r>
        <w:br w:type="textWrapping"/>
      </w:r>
      <w:hyperlink r:id="rId109">
        <w:r>
          <w:rPr>
            <w:rStyle w:val="Link"/>
          </w:rPr>
          <w:t xml:space="preserve">Lien vers la base de données cumuls iat/ifts</w:t>
        </w:r>
      </w:hyperlink>
    </w:p>
    <w:p>
      <w:pPr>
        <w:pStyle w:val="Heading3"/>
      </w:pPr>
      <w:bookmarkStart w:id="110" w:name="controle-sur-les-ifts-pour-categories-b-et-contractuels"/>
      <w:bookmarkEnd w:id="110"/>
      <w:r>
        <w:t xml:space="preserve">Contrôle sur les IFTS pour catégories B et contractuels</w:t>
      </w:r>
    </w:p>
    <w:p>
      <w:r>
        <w:t xml:space="preserve"> </w:t>
      </w:r>
      <w:r>
        <w:rPr>
          <w:i/>
        </w:rPr>
        <w:t xml:space="preserve">Tableau 71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de paie de contractuels percevant des IFTS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IFTS pour IB &lt; 380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hyperlink r:id="rId111">
        <w:r>
          <w:rPr>
            <w:rStyle w:val="Link"/>
          </w:rPr>
          <w:t xml:space="preserve">Lien vers la base de données Lignes IFTS pour contractuels</w:t>
        </w:r>
      </w:hyperlink>
      <w:r>
        <w:br w:type="textWrapping"/>
      </w:r>
      <w:hyperlink r:id="rId112">
        <w:r>
          <w:rPr>
            <w:rStyle w:val="Link"/>
          </w:rPr>
          <w:t xml:space="preserve">Lien vers la base de données Lignes IFTS pour IB &lt; 380</w:t>
        </w:r>
      </w:hyperlink>
    </w:p>
    <w:p>
      <w:r>
        <w:rPr>
          <w:b/>
        </w:rPr>
        <w:t xml:space="preserve">Nota :</w:t>
      </w:r>
      <w:r>
        <w:t xml:space="preserve"> </w:t>
      </w:r>
      <w:r>
        <w:t xml:space="preserve">IB &lt; 380 : fonctionnaire percevant un indice brut inférieur à 380</w:t>
      </w:r>
    </w:p>
    <w:p>
      <w:pPr>
        <w:pStyle w:val="Heading2"/>
      </w:pPr>
      <w:bookmarkStart w:id="113" w:name="controle-de-la-prime-de-fonctions-et-de-resultats-pfr"/>
      <w:bookmarkEnd w:id="113"/>
      <w:r>
        <w:t xml:space="preserve">5.5 Contrôle de la prime de fonctions et de résultats (PFR)</w:t>
      </w:r>
    </w:p>
    <w:p>
      <w:r>
        <w:t xml:space="preserve">Tous les attributaires de la PFR sont identifiés en catégorie A.</w:t>
      </w:r>
    </w:p>
    <w:p>
      <w:r>
        <w:t xml:space="preserve"> </w:t>
      </w:r>
      <w:r>
        <w:rPr>
          <w:i/>
        </w:rPr>
        <w:t xml:space="preserve">Tableau 72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PFR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Agents cumulant PFR et IFTS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hyperlink r:id="rId114">
        <w:r>
          <w:rPr>
            <w:rStyle w:val="Link"/>
          </w:rPr>
          <w:t xml:space="preserve">Lien vers la base de données cumuls pfr/ifts</w:t>
        </w:r>
      </w:hyperlink>
    </w:p>
    <w:p>
      <w:r>
        <w:t xml:space="preserve"> </w:t>
      </w:r>
      <w:r>
        <w:rPr>
          <w:i/>
        </w:rPr>
        <w:t xml:space="preserve">Tableau 73 : rappel des plafonds annuels de la PFR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Adm. général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Adm. HC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Adm.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Direct./Attaché princ.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Secr. mairie/Attaché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58 800</w:t>
            </w:r>
          </w:p>
        </w:tc>
        <w:tc>
          <w:p>
            <w:pPr>
              <w:pStyle w:val="Compact"/>
              <w:jc w:val="center"/>
            </w:pPr>
            <w:r>
              <w:t xml:space="preserve">55 200</w:t>
            </w:r>
          </w:p>
        </w:tc>
        <w:tc>
          <w:p>
            <w:pPr>
              <w:pStyle w:val="Compact"/>
              <w:jc w:val="center"/>
            </w:pPr>
            <w:r>
              <w:t xml:space="preserve">49 800</w:t>
            </w:r>
          </w:p>
        </w:tc>
        <w:tc>
          <w:p>
            <w:pPr>
              <w:pStyle w:val="Compact"/>
              <w:jc w:val="center"/>
            </w:pPr>
            <w:r>
              <w:t xml:space="preserve">25 800</w:t>
            </w:r>
          </w:p>
        </w:tc>
        <w:tc>
          <w:p>
            <w:pPr>
              <w:pStyle w:val="Compact"/>
              <w:jc w:val="center"/>
            </w:pPr>
            <w:r>
              <w:t xml:space="preserve">20 100</w:t>
            </w:r>
          </w:p>
        </w:tc>
      </w:tr>
    </w:tbl>
    <w:p>
      <w:r>
        <w:t xml:space="preserve">Les plafonds annuels de la PFR de sont pas dépassés.</w:t>
      </w:r>
    </w:p>
    <w:p>
      <w:r>
        <w:t xml:space="preserve"> </w:t>
      </w:r>
      <w:r>
        <w:rPr>
          <w:i/>
        </w:rPr>
        <w:t xml:space="preserve">Tableau 74</w:t>
      </w:r>
      <w:r>
        <w:t xml:space="preserve"> </w:t>
      </w:r>
      <w:r>
        <w:t xml:space="preserve">: Valeurs de l'agrégat (PFR ou IFTS) pour les bénéficiaires de la PFR</w:t>
      </w:r>
    </w:p>
    <w:p>
      <w:r>
        <w:t xml:space="preserve">Aucun bénéficiaire de la PFR détecté.</w:t>
      </w:r>
    </w:p>
    <w:p>
      <w:r>
        <w:t xml:space="preserve"> </w:t>
      </w:r>
      <w:r>
        <w:rPr>
          <w:i/>
        </w:rPr>
        <w:t xml:space="preserve">Tableau 75</w:t>
      </w:r>
      <w:r>
        <w:t xml:space="preserve"> </w:t>
      </w:r>
      <w:r>
        <w:t xml:space="preserve">: Variations de l'agrégat (PFR ou IFTS) pour les bénéficiaires de la PFR</w:t>
      </w:r>
    </w:p>
    <w:p>
      <w:r>
        <w:t xml:space="preserve">Aucun tableau de variation.</w:t>
      </w:r>
    </w:p>
    <w:p>
      <w:hyperlink r:id="rId115">
        <w:r>
          <w:rPr>
            <w:rStyle w:val="Link"/>
          </w:rPr>
          <w:t xml:space="preserve">Lien vers la base de données agrégat PFR-IFTS</w:t>
        </w:r>
      </w:hyperlink>
    </w:p>
    <w:p>
      <w:hyperlink r:id="rId116">
        <w:r>
          <w:rPr>
            <w:rStyle w:val="Link"/>
          </w:rPr>
          <w:t xml:space="preserve">Lien vers la base de données variations agrégat PFR-IFTS</w:t>
        </w:r>
      </w:hyperlink>
    </w:p>
    <w:p>
      <w:pPr>
        <w:pStyle w:val="Heading2"/>
      </w:pPr>
      <w:bookmarkStart w:id="117" w:name="controle-sur-les-heures-supplementaires"/>
      <w:bookmarkEnd w:id="117"/>
      <w:r>
        <w:t xml:space="preserve">5.6 Contrôle sur les heures supplémentaires</w:t>
      </w:r>
    </w:p>
    <w:p>
      <w:r>
        <w:t xml:space="preserve">Le seuil de 180 heures supplémentaires maximum est dépassé par 17 agents. Le seuil de 220 heures supplémentaires maximum est dépassé par 17 agents.</w:t>
      </w:r>
    </w:p>
    <w:p>
      <w:r>
        <w:t xml:space="preserve"> </w:t>
      </w:r>
      <w:r>
        <w:rPr>
          <w:i/>
        </w:rPr>
        <w:t xml:space="preserve">Tableau 76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HS en excès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IHTS anormales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center"/>
            </w:pPr>
            <w:r>
              <w:t xml:space="preserve">230</w:t>
            </w:r>
          </w:p>
        </w:tc>
      </w:tr>
    </w:tbl>
    <w:p>
      <w:hyperlink r:id="rId118">
        <w:r>
          <w:rPr>
            <w:rStyle w:val="Link"/>
          </w:rPr>
          <w:t xml:space="preserve">Lien vers la base de données Heures supplémentaires en excès du seuil de 25h/mois</w:t>
        </w:r>
      </w:hyperlink>
      <w:r>
        <w:br w:type="textWrapping"/>
      </w:r>
      <w:hyperlink r:id="rId119">
        <w:r>
          <w:rPr>
            <w:rStyle w:val="Link"/>
          </w:rPr>
          <w:t xml:space="preserve">Lien vers la base de données cumuls en excès des seuils annuels</w:t>
        </w:r>
      </w:hyperlink>
      <w:r>
        <w:br w:type="textWrapping"/>
      </w:r>
      <w:hyperlink r:id="rId120">
        <w:r>
          <w:rPr>
            <w:rStyle w:val="Link"/>
          </w:rPr>
          <w:t xml:space="preserve">Lien vers la base de données IHTS anormales</w:t>
        </w:r>
      </w:hyperlink>
    </w:p>
    <w:p>
      <w:r>
        <w:rPr>
          <w:b/>
        </w:rPr>
        <w:t xml:space="preserve">Nota :</w:t>
      </w:r>
      <w:r>
        <w:br w:type="textWrapping"/>
      </w:r>
      <w:r>
        <w:t xml:space="preserve">HS en excès : au-delà de 25 heures par mois</w:t>
      </w:r>
      <w:r>
        <w:br w:type="textWrapping"/>
      </w:r>
      <w:r>
        <w:t xml:space="preserve">IHTS anormales : attribuées à des fonctionnaires ou non-titulaires de catégorie A ou assimilés.</w:t>
      </w:r>
    </w:p>
    <w:p>
      <w:pPr>
        <w:pStyle w:val="Heading2"/>
      </w:pPr>
      <w:bookmarkStart w:id="121" w:name="controle-sur-les-indemnites-des-elus"/>
      <w:bookmarkEnd w:id="121"/>
      <w:r>
        <w:t xml:space="preserve">5.7 Contrôle sur les indemnités des élus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Matricule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Emploi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Indemnités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173001</w:t>
            </w:r>
          </w:p>
        </w:tc>
        <w:tc>
          <w:p>
            <w:pPr>
              <w:pStyle w:val="Compact"/>
              <w:jc w:val="left"/>
            </w:pPr>
            <w:r>
              <w:t xml:space="preserve">DEFIX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173101</w:t>
            </w:r>
          </w:p>
        </w:tc>
        <w:tc>
          <w:p>
            <w:pPr>
              <w:pStyle w:val="Compact"/>
              <w:jc w:val="left"/>
            </w:pPr>
            <w:r>
              <w:t xml:space="preserve">WAUQUIEZ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173201</w:t>
            </w:r>
          </w:p>
        </w:tc>
        <w:tc>
          <w:p>
            <w:pPr>
              <w:pStyle w:val="Compact"/>
              <w:jc w:val="left"/>
            </w:pPr>
            <w:r>
              <w:t xml:space="preserve">DECOLIN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173301</w:t>
            </w:r>
          </w:p>
        </w:tc>
        <w:tc>
          <w:p>
            <w:pPr>
              <w:pStyle w:val="Compact"/>
              <w:jc w:val="left"/>
            </w:pPr>
            <w:r>
              <w:t xml:space="preserve">CHASSAING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173401</w:t>
            </w:r>
          </w:p>
        </w:tc>
        <w:tc>
          <w:p>
            <w:pPr>
              <w:pStyle w:val="Compact"/>
              <w:jc w:val="left"/>
            </w:pPr>
            <w:r>
              <w:t xml:space="preserve">GONCALVES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173501</w:t>
            </w:r>
          </w:p>
        </w:tc>
        <w:tc>
          <w:p>
            <w:pPr>
              <w:pStyle w:val="Compact"/>
              <w:jc w:val="left"/>
            </w:pPr>
            <w:r>
              <w:t xml:space="preserve">MAURIN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173601</w:t>
            </w:r>
          </w:p>
        </w:tc>
        <w:tc>
          <w:p>
            <w:pPr>
              <w:pStyle w:val="Compact"/>
              <w:jc w:val="left"/>
            </w:pPr>
            <w:r>
              <w:t xml:space="preserve">BAY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173701</w:t>
            </w:r>
          </w:p>
        </w:tc>
        <w:tc>
          <w:p>
            <w:pPr>
              <w:pStyle w:val="Compact"/>
              <w:jc w:val="left"/>
            </w:pPr>
            <w:r>
              <w:t xml:space="preserve">COURIOL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173801</w:t>
            </w:r>
          </w:p>
        </w:tc>
        <w:tc>
          <w:p>
            <w:pPr>
              <w:pStyle w:val="Compact"/>
              <w:jc w:val="left"/>
            </w:pPr>
            <w:r>
              <w:t xml:space="preserve">GUIEAU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173901</w:t>
            </w:r>
          </w:p>
        </w:tc>
        <w:tc>
          <w:p>
            <w:pPr>
              <w:pStyle w:val="Compact"/>
              <w:jc w:val="left"/>
            </w:pPr>
            <w:r>
              <w:t xml:space="preserve">CONVERT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174001</w:t>
            </w:r>
          </w:p>
        </w:tc>
        <w:tc>
          <w:p>
            <w:pPr>
              <w:pStyle w:val="Compact"/>
              <w:jc w:val="left"/>
            </w:pPr>
            <w:r>
              <w:t xml:space="preserve">PEYRET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174201</w:t>
            </w:r>
          </w:p>
        </w:tc>
        <w:tc>
          <w:p>
            <w:pPr>
              <w:pStyle w:val="Compact"/>
              <w:jc w:val="left"/>
            </w:pPr>
            <w:r>
              <w:t xml:space="preserve">GIRBON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174301</w:t>
            </w:r>
          </w:p>
        </w:tc>
        <w:tc>
          <w:p>
            <w:pPr>
              <w:pStyle w:val="Compact"/>
              <w:jc w:val="left"/>
            </w:pPr>
            <w:r>
              <w:t xml:space="preserve">GROS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174401</w:t>
            </w:r>
          </w:p>
        </w:tc>
        <w:tc>
          <w:p>
            <w:pPr>
              <w:pStyle w:val="Compact"/>
              <w:jc w:val="left"/>
            </w:pPr>
            <w:r>
              <w:t xml:space="preserve">RIGAUD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182101</w:t>
            </w:r>
          </w:p>
        </w:tc>
        <w:tc>
          <w:p>
            <w:pPr>
              <w:pStyle w:val="Compact"/>
              <w:jc w:val="left"/>
            </w:pPr>
            <w:r>
              <w:t xml:space="preserve">REYNAUD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301754</w:t>
            </w:r>
          </w:p>
        </w:tc>
        <w:tc>
          <w:p>
            <w:pPr>
              <w:pStyle w:val="Compact"/>
              <w:jc w:val="left"/>
            </w:pPr>
            <w:r>
              <w:t xml:space="preserve">JOUBERT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36580,80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36580,80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301754</w:t>
            </w:r>
          </w:p>
        </w:tc>
        <w:tc>
          <w:p>
            <w:pPr>
              <w:pStyle w:val="Compact"/>
              <w:jc w:val="left"/>
            </w:pPr>
            <w:r>
              <w:t xml:space="preserve">JOUBERT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36580,80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36580,80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301754</w:t>
            </w:r>
          </w:p>
        </w:tc>
        <w:tc>
          <w:p>
            <w:pPr>
              <w:pStyle w:val="Compact"/>
              <w:jc w:val="left"/>
            </w:pPr>
            <w:r>
              <w:t xml:space="preserve">JOUBERT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36580,80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36580,80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301786</w:t>
            </w:r>
          </w:p>
        </w:tc>
        <w:tc>
          <w:p>
            <w:pPr>
              <w:pStyle w:val="Compact"/>
              <w:jc w:val="left"/>
            </w:pPr>
            <w:r>
              <w:t xml:space="preserve">PIERRE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301786</w:t>
            </w:r>
          </w:p>
        </w:tc>
        <w:tc>
          <w:p>
            <w:pPr>
              <w:pStyle w:val="Compact"/>
              <w:jc w:val="left"/>
            </w:pPr>
            <w:r>
              <w:t xml:space="preserve">PIERRE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301786</w:t>
            </w:r>
          </w:p>
        </w:tc>
        <w:tc>
          <w:p>
            <w:pPr>
              <w:pStyle w:val="Compact"/>
              <w:jc w:val="left"/>
            </w:pPr>
            <w:r>
              <w:t xml:space="preserve">PIERRE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301943</w:t>
            </w:r>
          </w:p>
        </w:tc>
        <w:tc>
          <w:p>
            <w:pPr>
              <w:pStyle w:val="Compact"/>
              <w:jc w:val="left"/>
            </w:pPr>
            <w:r>
              <w:t xml:space="preserve">DEFIX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301943</w:t>
            </w:r>
          </w:p>
        </w:tc>
        <w:tc>
          <w:p>
            <w:pPr>
              <w:pStyle w:val="Compact"/>
              <w:jc w:val="left"/>
            </w:pPr>
            <w:r>
              <w:t xml:space="preserve">DEFIX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301943</w:t>
            </w:r>
          </w:p>
        </w:tc>
        <w:tc>
          <w:p>
            <w:pPr>
              <w:pStyle w:val="Compact"/>
              <w:jc w:val="left"/>
            </w:pPr>
            <w:r>
              <w:t xml:space="preserve">DEFIX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301944</w:t>
            </w:r>
          </w:p>
        </w:tc>
        <w:tc>
          <w:p>
            <w:pPr>
              <w:pStyle w:val="Compact"/>
              <w:jc w:val="left"/>
            </w:pPr>
            <w:r>
              <w:t xml:space="preserve">WAUQUIEZ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301944</w:t>
            </w:r>
          </w:p>
        </w:tc>
        <w:tc>
          <w:p>
            <w:pPr>
              <w:pStyle w:val="Compact"/>
              <w:jc w:val="left"/>
            </w:pPr>
            <w:r>
              <w:t xml:space="preserve">WAUQUIEZ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301944</w:t>
            </w:r>
          </w:p>
        </w:tc>
        <w:tc>
          <w:p>
            <w:pPr>
              <w:pStyle w:val="Compact"/>
              <w:jc w:val="left"/>
            </w:pPr>
            <w:r>
              <w:t xml:space="preserve">WAUQUIEZ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301945</w:t>
            </w:r>
          </w:p>
        </w:tc>
        <w:tc>
          <w:p>
            <w:pPr>
              <w:pStyle w:val="Compact"/>
              <w:jc w:val="left"/>
            </w:pPr>
            <w:r>
              <w:t xml:space="preserve">DECOLIN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301945</w:t>
            </w:r>
          </w:p>
        </w:tc>
        <w:tc>
          <w:p>
            <w:pPr>
              <w:pStyle w:val="Compact"/>
              <w:jc w:val="left"/>
            </w:pPr>
            <w:r>
              <w:t xml:space="preserve">DECOLIN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301945</w:t>
            </w:r>
          </w:p>
        </w:tc>
        <w:tc>
          <w:p>
            <w:pPr>
              <w:pStyle w:val="Compact"/>
              <w:jc w:val="left"/>
            </w:pPr>
            <w:r>
              <w:t xml:space="preserve">DECOLIN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301946</w:t>
            </w:r>
          </w:p>
        </w:tc>
        <w:tc>
          <w:p>
            <w:pPr>
              <w:pStyle w:val="Compact"/>
              <w:jc w:val="left"/>
            </w:pPr>
            <w:r>
              <w:t xml:space="preserve">CHASSAING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301946</w:t>
            </w:r>
          </w:p>
        </w:tc>
        <w:tc>
          <w:p>
            <w:pPr>
              <w:pStyle w:val="Compact"/>
              <w:jc w:val="left"/>
            </w:pPr>
            <w:r>
              <w:t xml:space="preserve">CHASSAING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301946</w:t>
            </w:r>
          </w:p>
        </w:tc>
        <w:tc>
          <w:p>
            <w:pPr>
              <w:pStyle w:val="Compact"/>
              <w:jc w:val="left"/>
            </w:pPr>
            <w:r>
              <w:t xml:space="preserve">CHASSAING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301947</w:t>
            </w:r>
          </w:p>
        </w:tc>
        <w:tc>
          <w:p>
            <w:pPr>
              <w:pStyle w:val="Compact"/>
              <w:jc w:val="left"/>
            </w:pPr>
            <w:r>
              <w:t xml:space="preserve">GONCALVES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301947</w:t>
            </w:r>
          </w:p>
        </w:tc>
        <w:tc>
          <w:p>
            <w:pPr>
              <w:pStyle w:val="Compact"/>
              <w:jc w:val="left"/>
            </w:pPr>
            <w:r>
              <w:t xml:space="preserve">GONCALVES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301947</w:t>
            </w:r>
          </w:p>
        </w:tc>
        <w:tc>
          <w:p>
            <w:pPr>
              <w:pStyle w:val="Compact"/>
              <w:jc w:val="left"/>
            </w:pPr>
            <w:r>
              <w:t xml:space="preserve">GONCALVES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301948</w:t>
            </w:r>
          </w:p>
        </w:tc>
        <w:tc>
          <w:p>
            <w:pPr>
              <w:pStyle w:val="Compact"/>
              <w:jc w:val="left"/>
            </w:pPr>
            <w:r>
              <w:t xml:space="preserve">MAURIN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301948</w:t>
            </w:r>
          </w:p>
        </w:tc>
        <w:tc>
          <w:p>
            <w:pPr>
              <w:pStyle w:val="Compact"/>
              <w:jc w:val="left"/>
            </w:pPr>
            <w:r>
              <w:t xml:space="preserve">MAURIN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7669,45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7669,45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301949</w:t>
            </w:r>
          </w:p>
        </w:tc>
        <w:tc>
          <w:p>
            <w:pPr>
              <w:pStyle w:val="Compact"/>
              <w:jc w:val="left"/>
            </w:pPr>
            <w:r>
              <w:t xml:space="preserve">BAY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301949</w:t>
            </w:r>
          </w:p>
        </w:tc>
        <w:tc>
          <w:p>
            <w:pPr>
              <w:pStyle w:val="Compact"/>
              <w:jc w:val="left"/>
            </w:pPr>
            <w:r>
              <w:t xml:space="preserve">BAY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301949</w:t>
            </w:r>
          </w:p>
        </w:tc>
        <w:tc>
          <w:p>
            <w:pPr>
              <w:pStyle w:val="Compact"/>
              <w:jc w:val="left"/>
            </w:pPr>
            <w:r>
              <w:t xml:space="preserve">BAY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301950</w:t>
            </w:r>
          </w:p>
        </w:tc>
        <w:tc>
          <w:p>
            <w:pPr>
              <w:pStyle w:val="Compact"/>
              <w:jc w:val="left"/>
            </w:pPr>
            <w:r>
              <w:t xml:space="preserve">COURIOL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301950</w:t>
            </w:r>
          </w:p>
        </w:tc>
        <w:tc>
          <w:p>
            <w:pPr>
              <w:pStyle w:val="Compact"/>
              <w:jc w:val="left"/>
            </w:pPr>
            <w:r>
              <w:t xml:space="preserve">COURIOL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301950</w:t>
            </w:r>
          </w:p>
        </w:tc>
        <w:tc>
          <w:p>
            <w:pPr>
              <w:pStyle w:val="Compact"/>
              <w:jc w:val="left"/>
            </w:pPr>
            <w:r>
              <w:t xml:space="preserve">COURIOL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301951</w:t>
            </w:r>
          </w:p>
        </w:tc>
        <w:tc>
          <w:p>
            <w:pPr>
              <w:pStyle w:val="Compact"/>
              <w:jc w:val="left"/>
            </w:pPr>
            <w:r>
              <w:t xml:space="preserve">GUIEAU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301951</w:t>
            </w:r>
          </w:p>
        </w:tc>
        <w:tc>
          <w:p>
            <w:pPr>
              <w:pStyle w:val="Compact"/>
              <w:jc w:val="left"/>
            </w:pPr>
            <w:r>
              <w:t xml:space="preserve">GUIEAU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301951</w:t>
            </w:r>
          </w:p>
        </w:tc>
        <w:tc>
          <w:p>
            <w:pPr>
              <w:pStyle w:val="Compact"/>
              <w:jc w:val="left"/>
            </w:pPr>
            <w:r>
              <w:t xml:space="preserve">GUIEAU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301952</w:t>
            </w:r>
          </w:p>
        </w:tc>
        <w:tc>
          <w:p>
            <w:pPr>
              <w:pStyle w:val="Compact"/>
              <w:jc w:val="left"/>
            </w:pPr>
            <w:r>
              <w:t xml:space="preserve">CONVERT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301952</w:t>
            </w:r>
          </w:p>
        </w:tc>
        <w:tc>
          <w:p>
            <w:pPr>
              <w:pStyle w:val="Compact"/>
              <w:jc w:val="left"/>
            </w:pPr>
            <w:r>
              <w:t xml:space="preserve">CONVERT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9203,34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9203,34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301953</w:t>
            </w:r>
          </w:p>
        </w:tc>
        <w:tc>
          <w:p>
            <w:pPr>
              <w:pStyle w:val="Compact"/>
              <w:jc w:val="left"/>
            </w:pPr>
            <w:r>
              <w:t xml:space="preserve">PEYRET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301953</w:t>
            </w:r>
          </w:p>
        </w:tc>
        <w:tc>
          <w:p>
            <w:pPr>
              <w:pStyle w:val="Compact"/>
              <w:jc w:val="left"/>
            </w:pPr>
            <w:r>
              <w:t xml:space="preserve">PEYRET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301953</w:t>
            </w:r>
          </w:p>
        </w:tc>
        <w:tc>
          <w:p>
            <w:pPr>
              <w:pStyle w:val="Compact"/>
              <w:jc w:val="left"/>
            </w:pPr>
            <w:r>
              <w:t xml:space="preserve">PEYRET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301954</w:t>
            </w:r>
          </w:p>
        </w:tc>
        <w:tc>
          <w:p>
            <w:pPr>
              <w:pStyle w:val="Compact"/>
              <w:jc w:val="left"/>
            </w:pPr>
            <w:r>
              <w:t xml:space="preserve">GIRBON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301954</w:t>
            </w:r>
          </w:p>
        </w:tc>
        <w:tc>
          <w:p>
            <w:pPr>
              <w:pStyle w:val="Compact"/>
              <w:jc w:val="left"/>
            </w:pPr>
            <w:r>
              <w:t xml:space="preserve">GIRBON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9203,34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9203,34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301955</w:t>
            </w:r>
          </w:p>
        </w:tc>
        <w:tc>
          <w:p>
            <w:pPr>
              <w:pStyle w:val="Compact"/>
              <w:jc w:val="left"/>
            </w:pPr>
            <w:r>
              <w:t xml:space="preserve">GROS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301955</w:t>
            </w:r>
          </w:p>
        </w:tc>
        <w:tc>
          <w:p>
            <w:pPr>
              <w:pStyle w:val="Compact"/>
              <w:jc w:val="left"/>
            </w:pPr>
            <w:r>
              <w:t xml:space="preserve">GROS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301955</w:t>
            </w:r>
          </w:p>
        </w:tc>
        <w:tc>
          <w:p>
            <w:pPr>
              <w:pStyle w:val="Compact"/>
              <w:jc w:val="left"/>
            </w:pPr>
            <w:r>
              <w:t xml:space="preserve">GROS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301956</w:t>
            </w:r>
          </w:p>
        </w:tc>
        <w:tc>
          <w:p>
            <w:pPr>
              <w:pStyle w:val="Compact"/>
              <w:jc w:val="left"/>
            </w:pPr>
            <w:r>
              <w:t xml:space="preserve">RIGAUD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301956</w:t>
            </w:r>
          </w:p>
        </w:tc>
        <w:tc>
          <w:p>
            <w:pPr>
              <w:pStyle w:val="Compact"/>
              <w:jc w:val="left"/>
            </w:pPr>
            <w:r>
              <w:t xml:space="preserve">RIGAUD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301956</w:t>
            </w:r>
          </w:p>
        </w:tc>
        <w:tc>
          <w:p>
            <w:pPr>
              <w:pStyle w:val="Compact"/>
              <w:jc w:val="left"/>
            </w:pPr>
            <w:r>
              <w:t xml:space="preserve">RIGAUD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301991</w:t>
            </w:r>
          </w:p>
        </w:tc>
        <w:tc>
          <w:p>
            <w:pPr>
              <w:pStyle w:val="Compact"/>
              <w:jc w:val="left"/>
            </w:pPr>
            <w:r>
              <w:t xml:space="preserve">REYNAUD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301991</w:t>
            </w:r>
          </w:p>
        </w:tc>
        <w:tc>
          <w:p>
            <w:pPr>
              <w:pStyle w:val="Compact"/>
              <w:jc w:val="left"/>
            </w:pPr>
            <w:r>
              <w:t xml:space="preserve">REYNAUD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301991</w:t>
            </w:r>
          </w:p>
        </w:tc>
        <w:tc>
          <w:p>
            <w:pPr>
              <w:pStyle w:val="Compact"/>
              <w:jc w:val="left"/>
            </w:pPr>
            <w:r>
              <w:t xml:space="preserve">REYNAUD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18406,68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60302</w:t>
            </w:r>
          </w:p>
        </w:tc>
        <w:tc>
          <w:p>
            <w:pPr>
              <w:pStyle w:val="Compact"/>
              <w:jc w:val="left"/>
            </w:pPr>
            <w:r>
              <w:t xml:space="preserve">JOUBERT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right"/>
            </w:pPr>
            <w:r>
              <w:t xml:space="preserve">72979,44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72979,44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64502</w:t>
            </w:r>
          </w:p>
        </w:tc>
        <w:tc>
          <w:p>
            <w:pPr>
              <w:pStyle w:val="Compact"/>
              <w:jc w:val="left"/>
            </w:pPr>
            <w:r>
              <w:t xml:space="preserve">PIERRE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36721,80</w:t>
            </w:r>
          </w:p>
        </w:tc>
      </w:tr>
    </w:tbl>
    <w:p>
      <w:hyperlink r:id="rId122">
        <w:r>
          <w:rPr>
            <w:rStyle w:val="Link"/>
          </w:rPr>
          <w:t xml:space="preserve">Lien vers la base de données Rémunérations des élus</w:t>
        </w:r>
      </w:hyperlink>
    </w:p>
    <w:p>
      <w:pPr>
        <w:pStyle w:val="Heading2"/>
      </w:pPr>
      <w:bookmarkStart w:id="123" w:name="lien-avec-le-compte-de-gestion"/>
      <w:bookmarkEnd w:id="123"/>
      <w:r>
        <w:t xml:space="preserve">5.8 Lien avec le compte de gestion</w:t>
      </w:r>
    </w:p>
    <w:p>
      <w:r>
        <w:t xml:space="preserve">Cumul des lignes de paie par exercice et catégorie de ligne de paie</w:t>
      </w:r>
    </w:p>
    <w:p>
      <w:r>
        <w:t xml:space="preserve">Tableau 77 Année 2010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Catégorie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 annuel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Indemnités</w:t>
            </w:r>
          </w:p>
        </w:tc>
        <w:tc>
          <w:p>
            <w:pPr>
              <w:pStyle w:val="Compact"/>
              <w:jc w:val="right"/>
            </w:pPr>
            <w:r>
              <w:t xml:space="preserve">901 790,04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Rappels</w:t>
            </w:r>
          </w:p>
        </w:tc>
        <w:tc>
          <w:p>
            <w:pPr>
              <w:pStyle w:val="Compact"/>
              <w:jc w:val="right"/>
            </w:pPr>
            <w:r>
              <w:t xml:space="preserve">94 463,01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Rém. diverses</w:t>
            </w:r>
          </w:p>
        </w:tc>
        <w:tc>
          <w:p>
            <w:pPr>
              <w:pStyle w:val="Compact"/>
              <w:jc w:val="right"/>
            </w:pPr>
            <w:r>
              <w:t xml:space="preserve">50 427,17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Supplément familial</w:t>
            </w:r>
          </w:p>
        </w:tc>
        <w:tc>
          <w:p>
            <w:pPr>
              <w:pStyle w:val="Compact"/>
              <w:jc w:val="right"/>
            </w:pPr>
            <w:r>
              <w:t xml:space="preserve">76 043,69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Traitements</w:t>
            </w:r>
          </w:p>
        </w:tc>
        <w:tc>
          <w:p>
            <w:pPr>
              <w:pStyle w:val="Compact"/>
              <w:jc w:val="right"/>
            </w:pPr>
            <w:r>
              <w:t xml:space="preserve">10 117 498,07</w:t>
            </w:r>
          </w:p>
        </w:tc>
      </w:tr>
    </w:tbl>
    <w:p>
      <w:r>
        <w:t xml:space="preserve">Tableau 78 Année 2011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Catégorie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 annuel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Indemnités</w:t>
            </w:r>
          </w:p>
        </w:tc>
        <w:tc>
          <w:p>
            <w:pPr>
              <w:pStyle w:val="Compact"/>
              <w:jc w:val="right"/>
            </w:pPr>
            <w:r>
              <w:t xml:space="preserve">859 785,12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Rappels</w:t>
            </w:r>
          </w:p>
        </w:tc>
        <w:tc>
          <w:p>
            <w:pPr>
              <w:pStyle w:val="Compact"/>
              <w:jc w:val="right"/>
            </w:pPr>
            <w:r>
              <w:t xml:space="preserve">312 030,48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Rém. diverses</w:t>
            </w:r>
          </w:p>
        </w:tc>
        <w:tc>
          <w:p>
            <w:pPr>
              <w:pStyle w:val="Compact"/>
              <w:jc w:val="right"/>
            </w:pPr>
            <w:r>
              <w:t xml:space="preserve">11 119,69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Supplément familial</w:t>
            </w:r>
          </w:p>
        </w:tc>
        <w:tc>
          <w:p>
            <w:pPr>
              <w:pStyle w:val="Compact"/>
              <w:jc w:val="right"/>
            </w:pPr>
            <w:r>
              <w:t xml:space="preserve">78 235,58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Traitements</w:t>
            </w:r>
          </w:p>
        </w:tc>
        <w:tc>
          <w:p>
            <w:pPr>
              <w:pStyle w:val="Compact"/>
              <w:jc w:val="right"/>
            </w:pPr>
            <w:r>
              <w:t xml:space="preserve">4 760 956,27</w:t>
            </w:r>
          </w:p>
        </w:tc>
      </w:tr>
    </w:tbl>
    <w:p>
      <w:r>
        <w:t xml:space="preserve">Tableau 79 Année 2012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Catégorie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 annuel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Indemnités</w:t>
            </w:r>
          </w:p>
        </w:tc>
        <w:tc>
          <w:p>
            <w:pPr>
              <w:pStyle w:val="Compact"/>
              <w:jc w:val="right"/>
            </w:pPr>
            <w:r>
              <w:t xml:space="preserve">916 467,75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Rappels</w:t>
            </w:r>
          </w:p>
        </w:tc>
        <w:tc>
          <w:p>
            <w:pPr>
              <w:pStyle w:val="Compact"/>
              <w:jc w:val="right"/>
            </w:pPr>
            <w:r>
              <w:t xml:space="preserve">265 409,09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Rém. diverses</w:t>
            </w:r>
          </w:p>
        </w:tc>
        <w:tc>
          <w:p>
            <w:pPr>
              <w:pStyle w:val="Compact"/>
              <w:jc w:val="right"/>
            </w:pPr>
            <w:r>
              <w:t xml:space="preserve">15 004,19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Supplément familial</w:t>
            </w:r>
          </w:p>
        </w:tc>
        <w:tc>
          <w:p>
            <w:pPr>
              <w:pStyle w:val="Compact"/>
              <w:jc w:val="right"/>
            </w:pPr>
            <w:r>
              <w:t xml:space="preserve">82 448,19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Traitements</w:t>
            </w:r>
          </w:p>
        </w:tc>
        <w:tc>
          <w:p>
            <w:pPr>
              <w:pStyle w:val="Compact"/>
              <w:jc w:val="right"/>
            </w:pPr>
            <w:r>
              <w:t xml:space="preserve">5 213 570,52</w:t>
            </w:r>
          </w:p>
        </w:tc>
      </w:tr>
    </w:tbl>
    <w:p>
      <w:r>
        <w:t xml:space="preserve">Tableau 80 Année 2013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Catégorie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 annuel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Indemnités</w:t>
            </w:r>
          </w:p>
        </w:tc>
        <w:tc>
          <w:p>
            <w:pPr>
              <w:pStyle w:val="Compact"/>
              <w:jc w:val="right"/>
            </w:pPr>
            <w:r>
              <w:t xml:space="preserve">1 038 625,40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Rappels</w:t>
            </w:r>
          </w:p>
        </w:tc>
        <w:tc>
          <w:p>
            <w:pPr>
              <w:pStyle w:val="Compact"/>
              <w:jc w:val="right"/>
            </w:pPr>
            <w:r>
              <w:t xml:space="preserve">287 307,26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Rém. diverses</w:t>
            </w:r>
          </w:p>
        </w:tc>
        <w:tc>
          <w:p>
            <w:pPr>
              <w:pStyle w:val="Compact"/>
              <w:jc w:val="right"/>
            </w:pPr>
            <w:r>
              <w:t xml:space="preserve">17 876,24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Supplément familial</w:t>
            </w:r>
          </w:p>
        </w:tc>
        <w:tc>
          <w:p>
            <w:pPr>
              <w:pStyle w:val="Compact"/>
              <w:jc w:val="right"/>
            </w:pPr>
            <w:r>
              <w:t xml:space="preserve">88 661,84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Traitements</w:t>
            </w:r>
          </w:p>
        </w:tc>
        <w:tc>
          <w:p>
            <w:pPr>
              <w:pStyle w:val="Compact"/>
              <w:jc w:val="right"/>
            </w:pPr>
            <w:r>
              <w:t xml:space="preserve">5 503 405,22</w:t>
            </w:r>
          </w:p>
        </w:tc>
      </w:tr>
    </w:tbl>
    <w:p>
      <w:hyperlink r:id="rId124">
        <w:r>
          <w:rPr>
            <w:rStyle w:val="Link"/>
          </w:rPr>
          <w:t xml:space="preserve">Lien vers la base détaillée des cumuls des lignes de paie</w:t>
        </w:r>
      </w:hyperlink>
    </w:p>
    <w:p>
      <w:hyperlink r:id="rId125">
        <w:r>
          <w:rPr>
            <w:rStyle w:val="Link"/>
          </w:rPr>
          <w:t xml:space="preserve">Lien vers la base agrégée des cumuls des lignes de paie</w:t>
        </w:r>
      </w:hyperlink>
    </w:p>
    <w:p>
      <w:r>
        <w:rPr>
          <w:i/>
        </w:rPr>
        <w:t xml:space="preserve">Avertissement : les rappels comprennent également les rappels de cotisations et déductions diverses.</w:t>
      </w:r>
    </w:p>
    <w:p>
      <w:pPr>
        <w:pStyle w:val="Heading2"/>
      </w:pPr>
      <w:bookmarkStart w:id="126" w:name="controle-du-supplement-familial-de-traitement"/>
      <w:bookmarkEnd w:id="126"/>
      <w:r>
        <w:t xml:space="preserve">5.9 Contrôle du supplément familial de traitement</w:t>
      </w:r>
    </w:p>
    <w:p>
      <w:r>
        <w:t xml:space="preserve">Pour les agents n'ayant pas d'enfant signalé en base, il a été détecté 48 bulletins de paie présentant un paiement du SFT apparemment anormal.</w:t>
      </w:r>
    </w:p>
    <w:p>
      <w:hyperlink r:id="rId127">
        <w:r>
          <w:rPr>
            <w:rStyle w:val="Link"/>
          </w:rPr>
          <w:t xml:space="preserve">Lien vers la base des paiements de SFT à agents sans enfant signalé</w:t>
        </w:r>
      </w:hyperlink>
    </w:p>
    <w:p>
      <w:r>
        <w:t xml:space="preserve">Pour les agents ayant au moins un enfant, il a été détecté 46 bulletins de paie présentant un écart de paiement du SFT supérieur à 1 euro.</w:t>
      </w:r>
    </w:p>
    <w:p>
      <w:hyperlink r:id="rId128">
        <w:r>
          <w:rPr>
            <w:rStyle w:val="Link"/>
          </w:rPr>
          <w:t xml:space="preserve">Lien vers la base des écarts de paiement sur SFT</w:t>
        </w:r>
      </w:hyperlink>
    </w:p>
    <w:p>
      <w:pPr>
        <w:pStyle w:val="Heading1"/>
      </w:pPr>
      <w:bookmarkStart w:id="129" w:name="annexe"/>
      <w:bookmarkEnd w:id="129"/>
      <w:r>
        <w:t xml:space="preserve">Annexe</w:t>
      </w:r>
    </w:p>
    <w:p>
      <w:pPr>
        <w:pStyle w:val="Heading2"/>
      </w:pPr>
      <w:bookmarkStart w:id="130" w:name="liens-complementaires"/>
      <w:bookmarkEnd w:id="130"/>
      <w:r>
        <w:t xml:space="preserve">Liens complémentaires</w:t>
      </w:r>
    </w:p>
    <w:p>
      <w:hyperlink r:id="rId131">
        <w:r>
          <w:rPr>
            <w:rStyle w:val="Link"/>
          </w:rPr>
          <w:t xml:space="preserve">Lien vers le fichier des personnels</w:t>
        </w:r>
      </w:hyperlink>
    </w:p>
    <w:p>
      <w:pPr>
        <w:pStyle w:val="Heading2"/>
      </w:pPr>
      <w:bookmarkStart w:id="132" w:name="fiabilite-du-traitement-statistique"/>
      <w:bookmarkEnd w:id="132"/>
      <w:r>
        <w:t xml:space="preserve">Fiabilité du traitement statistique</w:t>
      </w:r>
    </w:p>
    <w:p>
      <w:r>
        <w:rPr>
          <w:i/>
        </w:rPr>
        <w:t xml:space="preserve">Doublons</w:t>
      </w:r>
    </w:p>
    <w:p>
      <w:r>
        <w:t xml:space="preserve">Attention : Altaïr a détecté des lignes dupliquées alors qu'aucun retraitement des lignes dupliquées n'est prévu par défaut.</w:t>
      </w:r>
    </w:p>
    <w:p>
      <w:r>
        <w:rPr>
          <w:i/>
        </w:rPr>
        <w:t xml:space="preserve">Tests de fiabilité sur le renseignement des heures et des quotités</w:t>
      </w:r>
    </w:p>
    <w:p>
      <w:r>
        <w:t xml:space="preserve">Nombre de bulletins : 14 260</w:t>
      </w:r>
    </w:p>
    <w:p>
      <w:r>
        <w:t xml:space="preserve">Les heures de travail ont été redressées avec la méthode des quotités.</w:t>
      </w:r>
    </w:p>
    <w:p>
      <w:r>
        <w:t xml:space="preserve">Nombre de bulletins de paie redressés : 148</w:t>
      </w:r>
    </w:p>
    <w:p>
      <w:r>
        <w:t xml:space="preserve">Pourcentage de redressements : 1,04 % des bulletins de paie.</w:t>
      </w:r>
    </w:p>
    <w:p>
      <w:r>
        <w:t xml:space="preserve">Pourcentage d'heures renseignées (après redressement éventuel): 88,1 %</w:t>
      </w:r>
    </w:p>
    <w:p>
      <w:r>
        <w:t xml:space="preserve">Pourcentage de quotités renseignées : 98,2 %</w:t>
      </w:r>
    </w:p>
    <w:p>
      <w:r>
        <w:t xml:space="preserve">Nombre de bulletins à heures et quotités : 12347 [ 86,6 %]</w:t>
      </w:r>
    </w:p>
    <w:p>
      <w:r>
        <w:t xml:space="preserve">Nombre de bulletins à heures sans quotités : 211 [ 1,5 %]</w:t>
      </w:r>
    </w:p>
    <w:p>
      <w:r>
        <w:t xml:space="preserve">Nombre de bulletins à quotités sans heures : 1651 [ 11,6 %]</w:t>
      </w:r>
    </w:p>
    <w:p>
      <w:r>
        <w:t xml:space="preserve">Nombre de bulletins apparemment inactifs : 51 [ 0,4 %]</w:t>
      </w:r>
    </w:p>
    <w:p>
      <w:r>
        <w:t xml:space="preserve">Nombre de bulletins de paie de salaires versés pour un champ Heures = 0 : 1 646 [ 11,5 %]</w:t>
      </w:r>
    </w:p>
    <w:p>
      <w:hyperlink r:id="rId133">
        <w:r>
          <w:rPr>
            <w:rStyle w:val="Link"/>
          </w:rPr>
          <w:t xml:space="preserve">Lien vers la base de données des salaires versés pour Heures=0</w:t>
        </w:r>
      </w:hyperlink>
      <w:r>
        <w:br w:type="textWrapping"/>
      </w:r>
      <w:hyperlink r:id="rId134">
        <w:r>
          <w:rPr>
            <w:rStyle w:val="Link"/>
          </w:rPr>
          <w:t xml:space="preserve">Lien vers la base de données des salaires versés à quotité indéfinie</w:t>
        </w:r>
      </w:hyperlink>
    </w:p>
    <w:p>
      <w:pPr>
        <w:pStyle w:val="Heading1"/>
      </w:pPr>
      <w:bookmarkStart w:id="135" w:name="tableau-des-personnels-renseigner-la-categorie"/>
      <w:bookmarkEnd w:id="135"/>
      <w:r>
        <w:t xml:space="preserve">Tableau des personnels : renseigner la catégorie</w:t>
      </w:r>
    </w:p>
    <w:p>
      <w:r>
        <w:t xml:space="preserve">Utiliser les codes : A, B, C, ELU, AUTRES</w:t>
      </w:r>
    </w:p>
    <w:p>
      <w:r>
        <w:t xml:space="preserve">En cas de changement de catégorie en cours de période, utiliser la catégorie AUTRES Cela peut conduire à modifier manuellement le fichier Catégories des personnels.csv</w:t>
      </w:r>
    </w:p>
    <w:p>
      <w:r>
        <w:t xml:space="preserve">Non généré [anonymisation]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4450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32" Target="media/rId32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35" Target="media/rId35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8" Target="media/rId88.png" /><Relationship Type="http://schemas.openxmlformats.org/officeDocument/2006/relationships/image" Id="rId28" Target="media/rId28.png" /><Relationship Type="http://schemas.openxmlformats.org/officeDocument/2006/relationships/hyperlink" Id="rId37" Target="Bases/Effectifs/Bulletins.paie.nir.fonctionnaires.csv" TargetMode="External" /><Relationship Type="http://schemas.openxmlformats.org/officeDocument/2006/relationships/hyperlink" Id="rId33" Target="Bases/Effectifs/Bulletins.paie.nir.nontit.csv" TargetMode="External" /><Relationship Type="http://schemas.openxmlformats.org/officeDocument/2006/relationships/hyperlink" Id="rId41" Target="Bases/Effectifs/Bulletins.paie.nir.permanents.csv" TargetMode="External" /><Relationship Type="http://schemas.openxmlformats.org/officeDocument/2006/relationships/hyperlink" Id="rId131" Target="Bases/Effectifs/Cat&#233;gories%20des%20personnels.csv" TargetMode="External" /><Relationship Type="http://schemas.openxmlformats.org/officeDocument/2006/relationships/hyperlink" Id="rId26" Target="Bases/Effectifs/tableau.effectifs.csv" TargetMode="External" /><Relationship Type="http://schemas.openxmlformats.org/officeDocument/2006/relationships/hyperlink" Id="rId133" Target="Bases/Fiabilit&#233;/base.heures.nulles.salaire.nonnull.csv" TargetMode="External" /><Relationship Type="http://schemas.openxmlformats.org/officeDocument/2006/relationships/hyperlink" Id="rId134" Target="Bases/Fiabilit&#233;/base.quotit&#233;.ind&#233;finie.salaire.nonnull.csv" TargetMode="External" /><Relationship Type="http://schemas.openxmlformats.org/officeDocument/2006/relationships/hyperlink" Id="rId98" Target="Bases/Fiabilit&#233;/cumuls.nbi.csv" TargetMode="External" /><Relationship Type="http://schemas.openxmlformats.org/officeDocument/2006/relationships/hyperlink" Id="rId97" Target="Bases/Fiabilit&#233;/lignes.nbi.anormales.csv" TargetMode="External" /><Relationship Type="http://schemas.openxmlformats.org/officeDocument/2006/relationships/hyperlink" Id="rId119" Target="Bases/R&#233;glementation/D&#233;passement.seuil.180h.csv" TargetMode="External" /><Relationship Type="http://schemas.openxmlformats.org/officeDocument/2006/relationships/hyperlink" Id="rId118" Target="Bases/R&#233;glementation/HS.sup.25.csv" TargetMode="External" /><Relationship Type="http://schemas.openxmlformats.org/officeDocument/2006/relationships/hyperlink" Id="rId95" Target="Bases/R&#233;glementation/NBI.aux.non.titulaires.csv" TargetMode="External" /><Relationship Type="http://schemas.openxmlformats.org/officeDocument/2006/relationships/hyperlink" Id="rId127" Target="Bases/R&#233;glementation/Paie.sans.enfant.r&#233;duit.csv" TargetMode="External" /><Relationship Type="http://schemas.openxmlformats.org/officeDocument/2006/relationships/hyperlink" Id="rId105" Target="Bases/R&#233;glementation/RI.et.vacations.csv" TargetMode="External" /><Relationship Type="http://schemas.openxmlformats.org/officeDocument/2006/relationships/hyperlink" Id="rId108" Target="Bases/R&#233;glementation/codes.ifts.csv" TargetMode="External" /><Relationship Type="http://schemas.openxmlformats.org/officeDocument/2006/relationships/hyperlink" Id="rId128" Target="Bases/R&#233;glementation/controle.sft.csv" TargetMode="External" /><Relationship Type="http://schemas.openxmlformats.org/officeDocument/2006/relationships/hyperlink" Id="rId124" Target="Bases/R&#233;glementation/cumul.lignes.paie.csv" TargetMode="External" /><Relationship Type="http://schemas.openxmlformats.org/officeDocument/2006/relationships/hyperlink" Id="rId125" Target="Bases/R&#233;glementation/cumul.total.lignes.paie.csv" TargetMode="External" /><Relationship Type="http://schemas.openxmlformats.org/officeDocument/2006/relationships/hyperlink" Id="rId111" Target="Bases/R&#233;glementation/ifts.et.contractuel.csv" TargetMode="External" /><Relationship Type="http://schemas.openxmlformats.org/officeDocument/2006/relationships/hyperlink" Id="rId120" Target="Bases/R&#233;glementation/ihts.anormales.csv" TargetMode="External" /><Relationship Type="http://schemas.openxmlformats.org/officeDocument/2006/relationships/hyperlink" Id="rId103" Target="Bases/R&#233;glementation/lignes.contractuels.et.vacations.csv" TargetMode="External" /><Relationship Type="http://schemas.openxmlformats.org/officeDocument/2006/relationships/hyperlink" Id="rId101" Target="Bases/R&#233;glementation/lignes.fonctionnaires.et.vacations.csv" TargetMode="External" /><Relationship Type="http://schemas.openxmlformats.org/officeDocument/2006/relationships/hyperlink" Id="rId112" Target="Bases/R&#233;glementation/lignes.ifts.anormales.csv" TargetMode="External" /><Relationship Type="http://schemas.openxmlformats.org/officeDocument/2006/relationships/hyperlink" Id="rId104" Target="Bases/R&#233;glementation/matricules.contractuels.et.vacations.csv" TargetMode="External" /><Relationship Type="http://schemas.openxmlformats.org/officeDocument/2006/relationships/hyperlink" Id="rId100" Target="Bases/R&#233;glementation/matricules.fonctionnaires.et.vacations.csv" TargetMode="External" /><Relationship Type="http://schemas.openxmlformats.org/officeDocument/2006/relationships/hyperlink" Id="rId109" Target="Bases/R&#233;glementation/personnels.iat.ifts.csv" TargetMode="External" /><Relationship Type="http://schemas.openxmlformats.org/officeDocument/2006/relationships/hyperlink" Id="rId114" Target="Bases/R&#233;glementation/personnels.pfr.ifts.csv" TargetMode="External" /><Relationship Type="http://schemas.openxmlformats.org/officeDocument/2006/relationships/hyperlink" Id="rId96" Target="Bases/R&#233;glementation/personnels.prime.informatique.csv" TargetMode="External" /><Relationship Type="http://schemas.openxmlformats.org/officeDocument/2006/relationships/hyperlink" Id="rId122" Target="Bases/R&#233;glementation/r&#233;mun&#233;rations.&#233;lu.csv" TargetMode="External" /><Relationship Type="http://schemas.openxmlformats.org/officeDocument/2006/relationships/hyperlink" Id="rId106" Target="Bases/R&#233;glementation/traitement.et.vacations.csv" TargetMode="External" /><Relationship Type="http://schemas.openxmlformats.org/officeDocument/2006/relationships/hyperlink" Id="rId72" Target="Bases/R&#233;mun&#233;rations/Analyse.r&#233;mun&#233;rations.csv" TargetMode="External" /><Relationship Type="http://schemas.openxmlformats.org/officeDocument/2006/relationships/hyperlink" Id="rId82" Target="Bases/R&#233;mun&#233;rations/Analyse.variations.par.exercice.csv" TargetMode="External" /><Relationship Type="http://schemas.openxmlformats.org/officeDocument/2006/relationships/hyperlink" Id="rId81" Target="Bases/R&#233;mun&#233;rations/Analyse.variations.synth&#232;se.csv" TargetMode="External" /><Relationship Type="http://schemas.openxmlformats.org/officeDocument/2006/relationships/hyperlink" Id="rId116" Target="Bases/R&#233;mun&#233;rations/b&#233;n&#233;ficiaires.PFR.Variation.csv" TargetMode="External" /><Relationship Type="http://schemas.openxmlformats.org/officeDocument/2006/relationships/hyperlink" Id="rId115" Target="Bases/R&#233;mun&#233;rations/b&#233;n&#233;ficiaires.PFR.csv" TargetMode="External" /><Relationship Type="http://schemas.openxmlformats.org/officeDocument/2006/relationships/hyperlink" Id="rId25" Target="Docs/m&#233;thodologie.pdf" TargetMode="External" /><Relationship Type="http://schemas.openxmlformats.org/officeDocument/2006/relationships/hyperlink" Id="rId91" Target="http://infos.emploipublic.fr/dossiers/la-fonction-publique-en-chiffres/la-fonction-publique-en-chiffre-2013/non-defini-08/apm-71444/" TargetMode="External" /><Relationship Type="http://schemas.openxmlformats.org/officeDocument/2006/relationships/hyperlink" Id="rId92" Target="http://www.fonction-publique.gouv.fr/files/files/statistiques/jaunes/jaune2014_FP.pdf" TargetMode="External" /><Relationship Type="http://schemas.openxmlformats.org/officeDocument/2006/relationships/hyperlink" Id="rId75" Target="http://www.fonction-publique.gouv.fr/files/files/statistiques/rapports_annuels/2012-2013/xls/Vue3_1_Remunerations.xls" TargetMode="External" /><Relationship Type="http://schemas.openxmlformats.org/officeDocument/2006/relationships/hyperlink" Id="rId74" Target="http://www.insee.fr/fr/ffc/ipweb/ip1486/ip1486.xls" TargetMode="External" /><Relationship Type="http://schemas.openxmlformats.org/officeDocument/2006/relationships/hyperlink" Id="rId76" Target="http://www.performance-publique.budget.gouv.fr/sites/performance_publique/files/farandole/ressources/2015/pap/pdf/jaunes/jaune2015_fonction_publiqu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Bases/Effectifs/Bulletins.paie.nir.fonctionnaires.csv" TargetMode="External" /><Relationship Type="http://schemas.openxmlformats.org/officeDocument/2006/relationships/hyperlink" Id="rId33" Target="Bases/Effectifs/Bulletins.paie.nir.nontit.csv" TargetMode="External" /><Relationship Type="http://schemas.openxmlformats.org/officeDocument/2006/relationships/hyperlink" Id="rId41" Target="Bases/Effectifs/Bulletins.paie.nir.permanents.csv" TargetMode="External" /><Relationship Type="http://schemas.openxmlformats.org/officeDocument/2006/relationships/hyperlink" Id="rId131" Target="Bases/Effectifs/Cat&#233;gories%20des%20personnels.csv" TargetMode="External" /><Relationship Type="http://schemas.openxmlformats.org/officeDocument/2006/relationships/hyperlink" Id="rId26" Target="Bases/Effectifs/tableau.effectifs.csv" TargetMode="External" /><Relationship Type="http://schemas.openxmlformats.org/officeDocument/2006/relationships/hyperlink" Id="rId133" Target="Bases/Fiabilit&#233;/base.heures.nulles.salaire.nonnull.csv" TargetMode="External" /><Relationship Type="http://schemas.openxmlformats.org/officeDocument/2006/relationships/hyperlink" Id="rId134" Target="Bases/Fiabilit&#233;/base.quotit&#233;.ind&#233;finie.salaire.nonnull.csv" TargetMode="External" /><Relationship Type="http://schemas.openxmlformats.org/officeDocument/2006/relationships/hyperlink" Id="rId98" Target="Bases/Fiabilit&#233;/cumuls.nbi.csv" TargetMode="External" /><Relationship Type="http://schemas.openxmlformats.org/officeDocument/2006/relationships/hyperlink" Id="rId97" Target="Bases/Fiabilit&#233;/lignes.nbi.anormales.csv" TargetMode="External" /><Relationship Type="http://schemas.openxmlformats.org/officeDocument/2006/relationships/hyperlink" Id="rId119" Target="Bases/R&#233;glementation/D&#233;passement.seuil.180h.csv" TargetMode="External" /><Relationship Type="http://schemas.openxmlformats.org/officeDocument/2006/relationships/hyperlink" Id="rId118" Target="Bases/R&#233;glementation/HS.sup.25.csv" TargetMode="External" /><Relationship Type="http://schemas.openxmlformats.org/officeDocument/2006/relationships/hyperlink" Id="rId95" Target="Bases/R&#233;glementation/NBI.aux.non.titulaires.csv" TargetMode="External" /><Relationship Type="http://schemas.openxmlformats.org/officeDocument/2006/relationships/hyperlink" Id="rId127" Target="Bases/R&#233;glementation/Paie.sans.enfant.r&#233;duit.csv" TargetMode="External" /><Relationship Type="http://schemas.openxmlformats.org/officeDocument/2006/relationships/hyperlink" Id="rId105" Target="Bases/R&#233;glementation/RI.et.vacations.csv" TargetMode="External" /><Relationship Type="http://schemas.openxmlformats.org/officeDocument/2006/relationships/hyperlink" Id="rId108" Target="Bases/R&#233;glementation/codes.ifts.csv" TargetMode="External" /><Relationship Type="http://schemas.openxmlformats.org/officeDocument/2006/relationships/hyperlink" Id="rId128" Target="Bases/R&#233;glementation/controle.sft.csv" TargetMode="External" /><Relationship Type="http://schemas.openxmlformats.org/officeDocument/2006/relationships/hyperlink" Id="rId124" Target="Bases/R&#233;glementation/cumul.lignes.paie.csv" TargetMode="External" /><Relationship Type="http://schemas.openxmlformats.org/officeDocument/2006/relationships/hyperlink" Id="rId125" Target="Bases/R&#233;glementation/cumul.total.lignes.paie.csv" TargetMode="External" /><Relationship Type="http://schemas.openxmlformats.org/officeDocument/2006/relationships/hyperlink" Id="rId111" Target="Bases/R&#233;glementation/ifts.et.contractuel.csv" TargetMode="External" /><Relationship Type="http://schemas.openxmlformats.org/officeDocument/2006/relationships/hyperlink" Id="rId120" Target="Bases/R&#233;glementation/ihts.anormales.csv" TargetMode="External" /><Relationship Type="http://schemas.openxmlformats.org/officeDocument/2006/relationships/hyperlink" Id="rId103" Target="Bases/R&#233;glementation/lignes.contractuels.et.vacations.csv" TargetMode="External" /><Relationship Type="http://schemas.openxmlformats.org/officeDocument/2006/relationships/hyperlink" Id="rId101" Target="Bases/R&#233;glementation/lignes.fonctionnaires.et.vacations.csv" TargetMode="External" /><Relationship Type="http://schemas.openxmlformats.org/officeDocument/2006/relationships/hyperlink" Id="rId112" Target="Bases/R&#233;glementation/lignes.ifts.anormales.csv" TargetMode="External" /><Relationship Type="http://schemas.openxmlformats.org/officeDocument/2006/relationships/hyperlink" Id="rId104" Target="Bases/R&#233;glementation/matricules.contractuels.et.vacations.csv" TargetMode="External" /><Relationship Type="http://schemas.openxmlformats.org/officeDocument/2006/relationships/hyperlink" Id="rId100" Target="Bases/R&#233;glementation/matricules.fonctionnaires.et.vacations.csv" TargetMode="External" /><Relationship Type="http://schemas.openxmlformats.org/officeDocument/2006/relationships/hyperlink" Id="rId109" Target="Bases/R&#233;glementation/personnels.iat.ifts.csv" TargetMode="External" /><Relationship Type="http://schemas.openxmlformats.org/officeDocument/2006/relationships/hyperlink" Id="rId114" Target="Bases/R&#233;glementation/personnels.pfr.ifts.csv" TargetMode="External" /><Relationship Type="http://schemas.openxmlformats.org/officeDocument/2006/relationships/hyperlink" Id="rId96" Target="Bases/R&#233;glementation/personnels.prime.informatique.csv" TargetMode="External" /><Relationship Type="http://schemas.openxmlformats.org/officeDocument/2006/relationships/hyperlink" Id="rId122" Target="Bases/R&#233;glementation/r&#233;mun&#233;rations.&#233;lu.csv" TargetMode="External" /><Relationship Type="http://schemas.openxmlformats.org/officeDocument/2006/relationships/hyperlink" Id="rId106" Target="Bases/R&#233;glementation/traitement.et.vacations.csv" TargetMode="External" /><Relationship Type="http://schemas.openxmlformats.org/officeDocument/2006/relationships/hyperlink" Id="rId72" Target="Bases/R&#233;mun&#233;rations/Analyse.r&#233;mun&#233;rations.csv" TargetMode="External" /><Relationship Type="http://schemas.openxmlformats.org/officeDocument/2006/relationships/hyperlink" Id="rId82" Target="Bases/R&#233;mun&#233;rations/Analyse.variations.par.exercice.csv" TargetMode="External" /><Relationship Type="http://schemas.openxmlformats.org/officeDocument/2006/relationships/hyperlink" Id="rId81" Target="Bases/R&#233;mun&#233;rations/Analyse.variations.synth&#232;se.csv" TargetMode="External" /><Relationship Type="http://schemas.openxmlformats.org/officeDocument/2006/relationships/hyperlink" Id="rId116" Target="Bases/R&#233;mun&#233;rations/b&#233;n&#233;ficiaires.PFR.Variation.csv" TargetMode="External" /><Relationship Type="http://schemas.openxmlformats.org/officeDocument/2006/relationships/hyperlink" Id="rId115" Target="Bases/R&#233;mun&#233;rations/b&#233;n&#233;ficiaires.PFR.csv" TargetMode="External" /><Relationship Type="http://schemas.openxmlformats.org/officeDocument/2006/relationships/hyperlink" Id="rId25" Target="Docs/m&#233;thodologie.pdf" TargetMode="External" /><Relationship Type="http://schemas.openxmlformats.org/officeDocument/2006/relationships/hyperlink" Id="rId91" Target="http://infos.emploipublic.fr/dossiers/la-fonction-publique-en-chiffres/la-fonction-publique-en-chiffre-2013/non-defini-08/apm-71444/" TargetMode="External" /><Relationship Type="http://schemas.openxmlformats.org/officeDocument/2006/relationships/hyperlink" Id="rId92" Target="http://www.fonction-publique.gouv.fr/files/files/statistiques/jaunes/jaune2014_FP.pdf" TargetMode="External" /><Relationship Type="http://schemas.openxmlformats.org/officeDocument/2006/relationships/hyperlink" Id="rId75" Target="http://www.fonction-publique.gouv.fr/files/files/statistiques/rapports_annuels/2012-2013/xls/Vue3_1_Remunerations.xls" TargetMode="External" /><Relationship Type="http://schemas.openxmlformats.org/officeDocument/2006/relationships/hyperlink" Id="rId74" Target="http://www.insee.fr/fr/ffc/ipweb/ip1486/ip1486.xls" TargetMode="External" /><Relationship Type="http://schemas.openxmlformats.org/officeDocument/2006/relationships/hyperlink" Id="rId76" Target="http://www.performance-publique.budget.gouv.fr/sites/performance_publique/files/farandole/ressources/2015/pap/pdf/jaunes/jaune2015_fonction_publiqu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