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3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55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35.png" ContentType="image/png"/>
  <Override PartName="/word/media/rId67.png" ContentType="image/png"/>
  <Override PartName="/word/media/rId68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76.png" ContentType="image/png"/>
  <Override PartName="/word/media/rId77.png" ContentType="image/png"/>
  <Override PartName="/word/media/rId8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drawing>
          <wp:inline>
            <wp:extent cx="14224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demonstrateur-altair-version-15.02"/>
      <w:bookmarkEnd w:id="22"/>
      <w:r>
        <w:t xml:space="preserve">Démonstrateur Altaïr version 15.02</w:t>
      </w:r>
    </w:p>
    <w:p>
      <w:pPr>
        <w:pStyle w:val="Compact"/>
      </w:pPr>
      <w:r>
        <w:t xml:space="preserve">Exercices 2012 à 2014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sam. 14 nov. 2015</w:t>
      </w:r>
    </w:p>
    <w:p>
      <w:pPr>
        <w:pStyle w:val="Heading1"/>
      </w:pPr>
      <w:bookmarkStart w:id="23" w:name="statistiques-de-population"/>
      <w:bookmarkEnd w:id="23"/>
      <w:r>
        <w:t xml:space="preserve">1. Statistiques de population</w:t>
      </w:r>
    </w:p>
    <w:p>
      <w:pPr>
        <w:pStyle w:val="Heading3"/>
      </w:pPr>
      <w:bookmarkStart w:id="24" w:name="effectifs"/>
      <w:bookmarkEnd w:id="24"/>
      <w:r>
        <w:t xml:space="preserve">1.1 Effectifs</w:t>
      </w:r>
    </w:p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 (a)</w:t>
            </w:r>
          </w:p>
        </w:tc>
        <w:tc>
          <w:p>
            <w:pPr>
              <w:pStyle w:val="Compact"/>
              <w:jc w:val="center"/>
            </w:pPr>
            <w:r>
              <w:t xml:space="preserve">354,0</w:t>
            </w:r>
          </w:p>
        </w:tc>
        <w:tc>
          <w:p>
            <w:pPr>
              <w:pStyle w:val="Compact"/>
              <w:jc w:val="center"/>
            </w:pPr>
            <w:r>
              <w:t xml:space="preserve">360,0</w:t>
            </w:r>
          </w:p>
        </w:tc>
        <w:tc>
          <w:p>
            <w:pPr>
              <w:pStyle w:val="Compact"/>
              <w:jc w:val="center"/>
            </w:pPr>
            <w:r>
              <w:t xml:space="preserve">403,0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252,0</w:t>
            </w:r>
          </w:p>
        </w:tc>
        <w:tc>
          <w:p>
            <w:pPr>
              <w:pStyle w:val="Compact"/>
              <w:jc w:val="center"/>
            </w:pPr>
            <w:r>
              <w:t xml:space="preserve">266,0</w:t>
            </w:r>
          </w:p>
        </w:tc>
        <w:tc>
          <w:p>
            <w:pPr>
              <w:pStyle w:val="Compact"/>
              <w:jc w:val="center"/>
            </w:pPr>
            <w:r>
              <w:t xml:space="preserve">269,0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fonctionnaires (b)</w:t>
            </w:r>
          </w:p>
        </w:tc>
        <w:tc>
          <w:p>
            <w:pPr>
              <w:pStyle w:val="Compact"/>
              <w:jc w:val="center"/>
            </w:pPr>
            <w:r>
              <w:t xml:space="preserve">223,0</w:t>
            </w:r>
          </w:p>
        </w:tc>
        <w:tc>
          <w:p>
            <w:pPr>
              <w:pStyle w:val="Compact"/>
              <w:jc w:val="center"/>
            </w:pPr>
            <w:r>
              <w:t xml:space="preserve">245,0</w:t>
            </w:r>
          </w:p>
        </w:tc>
        <w:tc>
          <w:p>
            <w:pPr>
              <w:pStyle w:val="Compact"/>
              <w:jc w:val="center"/>
            </w:pPr>
            <w:r>
              <w:t xml:space="preserve">261,0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215,0</w:t>
            </w:r>
          </w:p>
        </w:tc>
        <w:tc>
          <w:p>
            <w:pPr>
              <w:pStyle w:val="Compact"/>
              <w:jc w:val="center"/>
            </w:pPr>
            <w:r>
              <w:t xml:space="preserve">230,0</w:t>
            </w:r>
          </w:p>
        </w:tc>
        <w:tc>
          <w:p>
            <w:pPr>
              <w:pStyle w:val="Compact"/>
              <w:jc w:val="center"/>
            </w:pPr>
            <w:r>
              <w:t xml:space="preserve">245,0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non titulaires</w:t>
            </w:r>
          </w:p>
        </w:tc>
        <w:tc>
          <w:p>
            <w:pPr>
              <w:pStyle w:val="Compact"/>
              <w:jc w:val="center"/>
            </w:pPr>
            <w:r>
              <w:t xml:space="preserve">72,0</w:t>
            </w:r>
          </w:p>
        </w:tc>
        <w:tc>
          <w:p>
            <w:pPr>
              <w:pStyle w:val="Compact"/>
              <w:jc w:val="center"/>
            </w:pPr>
            <w:r>
              <w:t xml:space="preserve">70,0</w:t>
            </w:r>
          </w:p>
        </w:tc>
        <w:tc>
          <w:p>
            <w:pPr>
              <w:pStyle w:val="Compact"/>
              <w:jc w:val="center"/>
            </w:pPr>
            <w:r>
              <w:t xml:space="preserve">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vacataires détectés (c)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assistantes maternelles détectées (c)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33,0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58,0</w:t>
            </w:r>
          </w:p>
        </w:tc>
        <w:tc>
          <w:p>
            <w:pPr>
              <w:pStyle w:val="Compact"/>
              <w:jc w:val="center"/>
            </w:pPr>
            <w:r>
              <w:t xml:space="preserve">42,0</w:t>
            </w:r>
          </w:p>
        </w:tc>
        <w:tc>
          <w:p>
            <w:pPr>
              <w:pStyle w:val="Compact"/>
              <w:jc w:val="center"/>
            </w:pPr>
            <w:r>
              <w:t xml:space="preserve">63,0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296,0</w:t>
            </w:r>
          </w:p>
        </w:tc>
        <w:tc>
          <w:p>
            <w:pPr>
              <w:pStyle w:val="Compact"/>
              <w:jc w:val="center"/>
            </w:pPr>
            <w:r>
              <w:t xml:space="preserve">318,0</w:t>
            </w:r>
          </w:p>
        </w:tc>
        <w:tc>
          <w:p>
            <w:pPr>
              <w:pStyle w:val="Compact"/>
              <w:jc w:val="center"/>
            </w:pPr>
            <w:r>
              <w:t xml:space="preserve">340,0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(d)</w:t>
            </w:r>
          </w:p>
        </w:tc>
        <w:tc>
          <w:p>
            <w:pPr>
              <w:pStyle w:val="Compact"/>
              <w:jc w:val="center"/>
            </w:pPr>
            <w:r>
              <w:t xml:space="preserve">320,3</w:t>
            </w:r>
          </w:p>
        </w:tc>
        <w:tc>
          <w:p>
            <w:pPr>
              <w:pStyle w:val="Compact"/>
              <w:jc w:val="center"/>
            </w:pPr>
            <w:r>
              <w:t xml:space="preserve">329,1</w:t>
            </w:r>
          </w:p>
        </w:tc>
        <w:tc>
          <w:p>
            <w:pPr>
              <w:pStyle w:val="Compact"/>
              <w:jc w:val="center"/>
            </w:pPr>
            <w:r>
              <w:t xml:space="preserve">340,4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(e)</w:t>
            </w:r>
          </w:p>
        </w:tc>
        <w:tc>
          <w:p>
            <w:pPr>
              <w:pStyle w:val="Compact"/>
              <w:jc w:val="center"/>
            </w:pPr>
            <w:r>
              <w:t xml:space="preserve">270,8</w:t>
            </w:r>
          </w:p>
        </w:tc>
        <w:tc>
          <w:p>
            <w:pPr>
              <w:pStyle w:val="Compact"/>
              <w:jc w:val="center"/>
            </w:pPr>
            <w:r>
              <w:t xml:space="preserve">294,7</w:t>
            </w:r>
          </w:p>
        </w:tc>
        <w:tc>
          <w:p>
            <w:pPr>
              <w:pStyle w:val="Compact"/>
              <w:jc w:val="center"/>
            </w:pPr>
            <w:r>
              <w:t xml:space="preserve">295,1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(f)(g)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212,0</w:t>
            </w:r>
          </w:p>
        </w:tc>
        <w:tc>
          <w:p>
            <w:pPr>
              <w:pStyle w:val="Compact"/>
              <w:jc w:val="center"/>
            </w:pPr>
            <w:r>
              <w:t xml:space="preserve">188,8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 (g)</w:t>
            </w:r>
          </w:p>
        </w:tc>
        <w:tc>
          <w:p>
            <w:pPr>
              <w:pStyle w:val="Compact"/>
              <w:jc w:val="center"/>
            </w:pPr>
            <w:r>
              <w:t xml:space="preserve">213,1</w:t>
            </w:r>
          </w:p>
        </w:tc>
        <w:tc>
          <w:p>
            <w:pPr>
              <w:pStyle w:val="Compact"/>
              <w:jc w:val="center"/>
            </w:pPr>
            <w:r>
              <w:t xml:space="preserve">234,4</w:t>
            </w:r>
          </w:p>
        </w:tc>
        <w:tc>
          <w:p>
            <w:pPr>
              <w:pStyle w:val="Compact"/>
              <w:jc w:val="center"/>
            </w:pPr>
            <w:r>
              <w:t xml:space="preserve">226,0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 (g)</w:t>
            </w:r>
          </w:p>
        </w:tc>
        <w:tc>
          <w:p>
            <w:pPr>
              <w:pStyle w:val="Compact"/>
              <w:jc w:val="center"/>
            </w:pPr>
            <w:r>
              <w:t xml:space="preserve">184,5</w:t>
            </w:r>
          </w:p>
        </w:tc>
        <w:tc>
          <w:p>
            <w:pPr>
              <w:pStyle w:val="Compact"/>
              <w:jc w:val="center"/>
            </w:pPr>
            <w:r>
              <w:t xml:space="preserve">184,0</w:t>
            </w:r>
          </w:p>
        </w:tc>
        <w:tc>
          <w:p>
            <w:pPr>
              <w:pStyle w:val="Compact"/>
              <w:jc w:val="center"/>
            </w:pPr>
            <w:r>
              <w:t xml:space="preserve">161,8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non titulaires (g)</w:t>
            </w:r>
          </w:p>
        </w:tc>
        <w:tc>
          <w:p>
            <w:pPr>
              <w:pStyle w:val="Compact"/>
              <w:jc w:val="center"/>
            </w:pPr>
            <w:r>
              <w:t xml:space="preserve">46,8</w:t>
            </w:r>
          </w:p>
        </w:tc>
        <w:tc>
          <w:p>
            <w:pPr>
              <w:pStyle w:val="Compact"/>
              <w:jc w:val="center"/>
            </w:pPr>
            <w:r>
              <w:t xml:space="preserve">44,6</w:t>
            </w:r>
          </w:p>
        </w:tc>
        <w:tc>
          <w:p>
            <w:pPr>
              <w:pStyle w:val="Compact"/>
              <w:jc w:val="center"/>
            </w:pPr>
            <w:r>
              <w:t xml:space="preserve">44,6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autre statut</w:t>
            </w:r>
          </w:p>
        </w:tc>
        <w:tc>
          <w:p>
            <w:pPr>
              <w:pStyle w:val="Compact"/>
              <w:jc w:val="center"/>
            </w:pPr>
            <w:r>
              <w:t xml:space="preserve">6,6</w:t>
            </w:r>
          </w:p>
        </w:tc>
        <w:tc>
          <w:p>
            <w:pPr>
              <w:pStyle w:val="Compact"/>
              <w:jc w:val="center"/>
            </w:pPr>
            <w:r>
              <w:t xml:space="preserve">5,9</w:t>
            </w:r>
          </w:p>
        </w:tc>
        <w:tc>
          <w:p>
            <w:pPr>
              <w:pStyle w:val="Compact"/>
              <w:jc w:val="center"/>
            </w:pPr>
            <w:r>
              <w:t xml:space="preserve">2,9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5,2</w:t>
            </w:r>
          </w:p>
        </w:tc>
        <w:tc>
          <w:p>
            <w:pPr>
              <w:pStyle w:val="Compact"/>
              <w:jc w:val="center"/>
            </w:pPr>
            <w:r>
              <w:t xml:space="preserve">5,8</w:t>
            </w:r>
          </w:p>
        </w:tc>
        <w:tc>
          <w:p>
            <w:pPr>
              <w:pStyle w:val="Compact"/>
              <w:jc w:val="center"/>
            </w:pPr>
            <w:r>
              <w:t xml:space="preserve">3,7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265,6</w:t>
            </w:r>
          </w:p>
        </w:tc>
        <w:tc>
          <w:p>
            <w:pPr>
              <w:pStyle w:val="Compact"/>
              <w:jc w:val="center"/>
            </w:pPr>
            <w:r>
              <w:t xml:space="preserve">288,9</w:t>
            </w:r>
          </w:p>
        </w:tc>
        <w:tc>
          <w:p>
            <w:pPr>
              <w:pStyle w:val="Compact"/>
              <w:jc w:val="center"/>
            </w:pPr>
            <w:r>
              <w:t xml:space="preserve">291,4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Nombre de matricules distincts ayant eu au moins un bulletin de paie dans l'année, en fonction ou non.Peut correspondre à des régularisations, des personnels hors position d'activité ou des ayants droit (reversion, etc.)</w:t>
      </w:r>
      <w:r>
        <w:br w:type="textWrapping"/>
      </w:r>
      <w:r>
        <w:rPr>
          <w:i/>
        </w:rPr>
        <w:t xml:space="preserve">(b) Titulaires ou stagiaires</w:t>
      </w:r>
      <w:r>
        <w:br w:type="textWrapping"/>
      </w:r>
      <w:r>
        <w:rPr>
          <w:i/>
        </w:rPr>
        <w:t xml:space="preserve">(c) Sur la base des libellés d'emploi et des libellés de lignes de paie. La détection peut être lacunaire</w:t>
      </w:r>
      <w:r>
        <w:br w:type="textWrapping"/>
      </w:r>
      <w:r>
        <w:rPr>
          <w:i/>
        </w:rPr>
        <w:t xml:space="preserve">(d) ETP : Equivalent temps plein = rémunération . quotité</w:t>
      </w:r>
      <w:r>
        <w:br w:type="textWrapping"/>
      </w:r>
      <w:r>
        <w:rPr>
          <w:i/>
        </w:rPr>
        <w:t xml:space="preserve">(e) ETPT : Equivalent temps plein travaillé = ETP . 12/nombre de mois travaillés dans l'année</w:t>
      </w:r>
      <w:r>
        <w:br w:type="textWrapping"/>
      </w:r>
      <w:r>
        <w:rPr>
          <w:i/>
        </w:rPr>
        <w:t xml:space="preserve">(f) Personnes en place : présentes en N et N-1 avec la même quotité, postes actifs et non annexes uniquement.</w:t>
      </w:r>
      <w:r>
        <w:br w:type="textWrapping"/>
      </w:r>
      <w:r>
        <w:rPr>
          <w:i/>
        </w:rPr>
        <w:t xml:space="preserve">(g) Postes actifs et non annexes :</w:t>
      </w:r>
      <w:r>
        <w:t xml:space="preserve"> </w:t>
      </w:r>
      <w:r>
        <w:t xml:space="preserve">voir</w:t>
      </w:r>
      <w:r>
        <w:t xml:space="preserve"> </w:t>
      </w:r>
      <w:hyperlink r:id="rId25">
        <w:r>
          <w:rPr>
            <w:rStyle w:val="Link"/>
          </w:rPr>
          <w:t xml:space="preserve">Compléments méthodologiques</w:t>
        </w:r>
      </w:hyperlink>
      <w:r>
        <w:br w:type="textWrapping"/>
      </w:r>
      <w:r>
        <w:rPr>
          <w:i/>
        </w:rPr>
        <w:t xml:space="preserve">   Un poste actif est défini par au moins un bulletin de paie comportant un traitement positif pour un volume d'heures de travail mensuel non nul.</w:t>
      </w:r>
      <w:r>
        <w:br w:type="textWrapping"/>
      </w:r>
      <w:r>
        <w:rPr>
          <w:i/>
        </w:rPr>
        <w:t xml:space="preserve">   Un poste non annexe est défini comme la conjonction de critères horaires et de revenu sur une année. La période minimale de référence est le mois.</w:t>
      </w:r>
      <w:r>
        <w:br w:type="textWrapping"/>
      </w:r>
      <w:r>
        <w:rPr>
          <w:i/>
        </w:rPr>
        <w:t xml:space="preserve">Les dix dernières lignes du tableau sont calculées en ne tenant pas compte des élus.</w:t>
      </w:r>
    </w:p>
    <w:p>
      <w:hyperlink r:id="rId26">
        <w:r>
          <w:rPr>
            <w:rStyle w:val="Link"/>
          </w:rPr>
          <w:t xml:space="preserve">Lien vers la base des effectifs</w:t>
        </w:r>
      </w:hyperlink>
    </w:p>
    <w:p>
      <w:pPr>
        <w:pStyle w:val="Heading3"/>
      </w:pPr>
      <w:bookmarkStart w:id="27" w:name="pyramide-des-ages-personnels-non-elus"/>
      <w:bookmarkEnd w:id="27"/>
      <w:r>
        <w:t xml:space="preserve">1.2 Pyramide des âges, personnels non élus</w:t>
      </w:r>
    </w:p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44,96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yramide-des-ages-personnels-non-titulaires"/>
      <w:bookmarkEnd w:id="30"/>
      <w:r>
        <w:t xml:space="preserve">1.3 Pyramide des âges, personnels non titulaires</w:t>
      </w:r>
    </w:p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30,25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39,5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39,68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31,75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42,71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3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4" w:name="pyramide-des-ages-personnels-fonctionnaires-stagiaires-et-titulaires"/>
      <w:bookmarkEnd w:id="34"/>
      <w:r>
        <w:t xml:space="preserve">1.4 Pyramide des âges, personnels fonctionnaires stagiaires et titulaires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46,92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45,64</w:t>
            </w:r>
          </w:p>
        </w:tc>
        <w:tc>
          <w:p>
            <w:pPr>
              <w:pStyle w:val="Compact"/>
              <w:jc w:val="center"/>
            </w:pPr>
            <w:r>
              <w:t xml:space="preserve">256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7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8" w:name="pyramide-des-ages-personnels-permanents-titulaires-stagiaires-et-non-titulaires"/>
      <w:bookmarkEnd w:id="38"/>
      <w:r>
        <w:t xml:space="preserve">1.5 Pyramide des âges, personnels permanents (titulaires, stagiaires et non titulaires)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45,85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38,75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45,39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41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42" w:name="effectifs-des-personnels-par-duree-de-service"/>
      <w:bookmarkEnd w:id="42"/>
      <w:r>
        <w:t xml:space="preserve">1.6 Effectifs des personnels par durée de service</w:t>
      </w:r>
    </w:p>
    <w:p>
      <w:r>
        <w:rPr>
          <w:b/>
        </w:rPr>
        <w:t xml:space="preserve">Personnels en fonction (hors élus) des exercices 2012 à 2014 inclus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340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p>
      <w:pPr>
        <w:pStyle w:val="Heading1"/>
      </w:pPr>
      <w:bookmarkStart w:id="44" w:name="remunerations-brutes-analyse-pour-lexercice-2012"/>
      <w:bookmarkEnd w:id="44"/>
      <w:r>
        <w:t xml:space="preserve">2. Rémunérations brutes : analyse pour l'exercice 2012</w:t>
      </w:r>
    </w:p>
    <w:p>
      <w:pPr>
        <w:pStyle w:val="Heading2"/>
      </w:pPr>
      <w:bookmarkStart w:id="45" w:name="masse-salariale-brute-de-lensemble-des-agents"/>
      <w:bookmarkEnd w:id="45"/>
      <w:r>
        <w:t xml:space="preserve">2.1 Masse salariale brute de l'ensemble des agents</w:t>
      </w:r>
    </w:p>
    <w:p>
      <w:pPr>
        <w:pStyle w:val="Heading3"/>
      </w:pPr>
      <w:bookmarkStart w:id="46" w:name="cumuls-des-remunerations-brutes-pour-lexercice-2012"/>
      <w:bookmarkEnd w:id="46"/>
      <w:r>
        <w:t xml:space="preserve">Cumuls des rémunérations brutes pour l'exercice 2012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6 538 348,5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6 938 814,0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839 098,1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12,8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6 538 348,5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6 938 814,0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-400 465,5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pPr>
        <w:pStyle w:val="Heading2"/>
      </w:pPr>
      <w:bookmarkStart w:id="47" w:name="masse-salariale-brute-des-fonctionnaires"/>
      <w:bookmarkEnd w:id="47"/>
      <w:r>
        <w:t xml:space="preserve">2.2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219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5 357 770,6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5 612 180,3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733 963,3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13,7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5 357 770,6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5 612 180,3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-254 409,7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2012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3 013</w:t>
            </w:r>
          </w:p>
        </w:tc>
        <w:tc>
          <w:p>
            <w:pPr>
              <w:pStyle w:val="Compact"/>
              <w:jc w:val="right"/>
            </w:pPr>
            <w:r>
              <w:t xml:space="preserve">703,8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19 191</w:t>
            </w:r>
          </w:p>
        </w:tc>
        <w:tc>
          <w:p>
            <w:pPr>
              <w:pStyle w:val="Compact"/>
              <w:jc w:val="right"/>
            </w:pPr>
            <w:r>
              <w:t xml:space="preserve">1 072,3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21 281</w:t>
            </w:r>
          </w:p>
        </w:tc>
        <w:tc>
          <w:p>
            <w:pPr>
              <w:pStyle w:val="Compact"/>
              <w:jc w:val="right"/>
            </w:pPr>
            <w:r>
              <w:t xml:space="preserve">1 773,6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22 364</w:t>
            </w:r>
          </w:p>
        </w:tc>
        <w:tc>
          <w:p>
            <w:pPr>
              <w:pStyle w:val="Compact"/>
              <w:jc w:val="right"/>
            </w:pPr>
            <w:r>
              <w:t xml:space="preserve">3 365,7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24 352</w:t>
            </w:r>
          </w:p>
        </w:tc>
        <w:tc>
          <w:p>
            <w:pPr>
              <w:pStyle w:val="Compact"/>
              <w:jc w:val="right"/>
            </w:pPr>
            <w:r>
              <w:t xml:space="preserve">3 740,5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64 570</w:t>
            </w:r>
          </w:p>
        </w:tc>
        <w:tc>
          <w:p>
            <w:pPr>
              <w:pStyle w:val="Compact"/>
              <w:jc w:val="right"/>
            </w:pPr>
            <w:r>
              <w:t xml:space="preserve">48 702,4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3 966</w:t>
            </w:r>
          </w:p>
        </w:tc>
        <w:tc>
          <w:p>
            <w:pPr>
              <w:pStyle w:val="Compact"/>
              <w:jc w:val="right"/>
            </w:pPr>
            <w:r>
              <w:t xml:space="preserve">3 966</w:t>
            </w:r>
          </w:p>
        </w:tc>
        <w:tc>
          <w:p>
            <w:pPr>
              <w:pStyle w:val="Compact"/>
              <w:jc w:val="right"/>
            </w:pPr>
            <w:r>
              <w:t xml:space="preserve">4 013</w:t>
            </w:r>
          </w:p>
        </w:tc>
        <w:tc>
          <w:p>
            <w:pPr>
              <w:pStyle w:val="Compact"/>
              <w:jc w:val="right"/>
            </w:pPr>
            <w:r>
              <w:t xml:space="preserve">3,614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20 630</w:t>
            </w:r>
          </w:p>
        </w:tc>
        <w:tc>
          <w:p>
            <w:pPr>
              <w:pStyle w:val="Compact"/>
              <w:jc w:val="right"/>
            </w:pPr>
            <w:r>
              <w:t xml:space="preserve">19 795</w:t>
            </w:r>
          </w:p>
        </w:tc>
        <w:tc>
          <w:p>
            <w:pPr>
              <w:pStyle w:val="Compact"/>
              <w:jc w:val="right"/>
            </w:pPr>
            <w:r>
              <w:t xml:space="preserve">19 886</w:t>
            </w:r>
          </w:p>
        </w:tc>
        <w:tc>
          <w:p>
            <w:pPr>
              <w:pStyle w:val="Compact"/>
              <w:jc w:val="right"/>
            </w:pPr>
            <w:r>
              <w:t xml:space="preserve">5,439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23 505</w:t>
            </w:r>
          </w:p>
        </w:tc>
        <w:tc>
          <w:p>
            <w:pPr>
              <w:pStyle w:val="Compact"/>
              <w:jc w:val="right"/>
            </w:pPr>
            <w:r>
              <w:t xml:space="preserve">21 940</w:t>
            </w:r>
          </w:p>
        </w:tc>
        <w:tc>
          <w:p>
            <w:pPr>
              <w:pStyle w:val="Compact"/>
              <w:jc w:val="right"/>
            </w:pPr>
            <w:r>
              <w:t xml:space="preserve">22 078</w:t>
            </w:r>
          </w:p>
        </w:tc>
        <w:tc>
          <w:p>
            <w:pPr>
              <w:pStyle w:val="Compact"/>
              <w:jc w:val="right"/>
            </w:pPr>
            <w:r>
              <w:t xml:space="preserve">8,353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25 730</w:t>
            </w:r>
          </w:p>
        </w:tc>
        <w:tc>
          <w:p>
            <w:pPr>
              <w:pStyle w:val="Compact"/>
              <w:jc w:val="right"/>
            </w:pPr>
            <w:r>
              <w:t xml:space="preserve">24 563</w:t>
            </w:r>
          </w:p>
        </w:tc>
        <w:tc>
          <w:p>
            <w:pPr>
              <w:pStyle w:val="Compact"/>
              <w:jc w:val="right"/>
            </w:pPr>
            <w:r>
              <w:t xml:space="preserve">24 759</w:t>
            </w:r>
          </w:p>
        </w:tc>
        <w:tc>
          <w:p>
            <w:pPr>
              <w:pStyle w:val="Compact"/>
              <w:jc w:val="right"/>
            </w:pPr>
            <w:r>
              <w:t xml:space="preserve">11,257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27 692</w:t>
            </w:r>
          </w:p>
        </w:tc>
        <w:tc>
          <w:p>
            <w:pPr>
              <w:pStyle w:val="Compact"/>
              <w:jc w:val="right"/>
            </w:pPr>
            <w:r>
              <w:t xml:space="preserve">26 165</w:t>
            </w:r>
          </w:p>
        </w:tc>
        <w:tc>
          <w:p>
            <w:pPr>
              <w:pStyle w:val="Compact"/>
              <w:jc w:val="right"/>
            </w:pPr>
            <w:r>
              <w:t xml:space="preserve">26 013</w:t>
            </w:r>
          </w:p>
        </w:tc>
        <w:tc>
          <w:p>
            <w:pPr>
              <w:pStyle w:val="Compact"/>
              <w:jc w:val="right"/>
            </w:pPr>
            <w:r>
              <w:t xml:space="preserve">14,839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113 272</w:t>
            </w:r>
          </w:p>
        </w:tc>
        <w:tc>
          <w:p>
            <w:pPr>
              <w:pStyle w:val="Compact"/>
              <w:jc w:val="right"/>
            </w:pPr>
            <w:r>
              <w:t xml:space="preserve">110 823</w:t>
            </w:r>
          </w:p>
        </w:tc>
        <w:tc>
          <w:p>
            <w:pPr>
              <w:pStyle w:val="Compact"/>
              <w:jc w:val="right"/>
            </w:pPr>
            <w:r>
              <w:t xml:space="preserve">102 637</w:t>
            </w:r>
          </w:p>
        </w:tc>
        <w:tc>
          <w:p>
            <w:pPr>
              <w:pStyle w:val="Compact"/>
              <w:jc w:val="right"/>
            </w:pPr>
            <w:r>
              <w:t xml:space="preserve">58,727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54" w:name="contractuels-vacataires-et-stagiaires-inclus"/>
      <w:bookmarkEnd w:id="54"/>
      <w:r>
        <w:t xml:space="preserve">2.3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r>
        <w:rPr>
          <w:b/>
        </w:rPr>
        <w:t xml:space="preserve">Formation et distribution du salaire brut moyen par tête (SMPT) en EQTP pour l'année 2012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138,1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1 060,1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1 289,9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1 533,9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12 207,9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4 071</w:t>
            </w:r>
          </w:p>
        </w:tc>
        <w:tc>
          <w:p>
            <w:pPr>
              <w:pStyle w:val="Compact"/>
              <w:jc w:val="right"/>
            </w:pPr>
            <w:r>
              <w:t xml:space="preserve">4 868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8 318</w:t>
            </w:r>
          </w:p>
        </w:tc>
        <w:tc>
          <w:p>
            <w:pPr>
              <w:pStyle w:val="Compact"/>
              <w:jc w:val="right"/>
            </w:pPr>
            <w:r>
              <w:t xml:space="preserve">16 543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12 393</w:t>
            </w:r>
          </w:p>
        </w:tc>
        <w:tc>
          <w:p>
            <w:pPr>
              <w:pStyle w:val="Compact"/>
              <w:jc w:val="right"/>
            </w:pPr>
            <w:r>
              <w:t xml:space="preserve">19 188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14 224</w:t>
            </w:r>
          </w:p>
        </w:tc>
        <w:tc>
          <w:p>
            <w:pPr>
              <w:pStyle w:val="Compact"/>
              <w:jc w:val="right"/>
            </w:pPr>
            <w:r>
              <w:t xml:space="preserve">20 179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16 499</w:t>
            </w:r>
          </w:p>
        </w:tc>
        <w:tc>
          <w:p>
            <w:pPr>
              <w:pStyle w:val="Compact"/>
              <w:jc w:val="right"/>
            </w:pPr>
            <w:r>
              <w:t xml:space="preserve">21 910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86 781</w:t>
            </w:r>
          </w:p>
        </w:tc>
        <w:tc>
          <w:p>
            <w:pPr>
              <w:pStyle w:val="Compact"/>
              <w:jc w:val="right"/>
            </w:pPr>
            <w:r>
              <w:t xml:space="preserve">86 544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56" w:name="remunerations-brutes-analyse-pour-lexercice-2014"/>
      <w:bookmarkEnd w:id="56"/>
      <w:r>
        <w:t xml:space="preserve">3. Rémunérations brutes : analyse pour l'exercice 2014</w:t>
      </w:r>
    </w:p>
    <w:p>
      <w:pPr>
        <w:pStyle w:val="Heading2"/>
      </w:pPr>
      <w:bookmarkStart w:id="57" w:name="masse-salariale-brute-de-lensemble-des-agents-1"/>
      <w:bookmarkEnd w:id="57"/>
      <w:r>
        <w:t xml:space="preserve">3.1 Masse salariale brute de l'ensemble des agents</w:t>
      </w:r>
    </w:p>
    <w:p>
      <w:pPr>
        <w:pStyle w:val="Heading3"/>
      </w:pPr>
      <w:bookmarkStart w:id="58" w:name="cumuls-des-remunerations-brutes-pour-lexercice-2014"/>
      <w:bookmarkEnd w:id="58"/>
      <w:r>
        <w:t xml:space="preserve">Cumuls des rémunérations brutes pour l'exercice 2014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7 824 528,3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7 662 638,3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1 319 834,2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121 494,4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16,9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7 824 528,3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7 662 638,3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161 890,0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pPr>
        <w:pStyle w:val="Heading2"/>
      </w:pPr>
      <w:bookmarkStart w:id="59" w:name="masse-salariale-brute-des-fonctionnaires-1"/>
      <w:bookmarkEnd w:id="59"/>
      <w:r>
        <w:t xml:space="preserve">3.2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249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6 273 012,3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6 073 430,5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1 055 207,0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31 871,8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16,8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6 273 012,3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6 073 430,5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199 581,8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2014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5 871</w:t>
            </w:r>
          </w:p>
        </w:tc>
        <w:tc>
          <w:p>
            <w:pPr>
              <w:pStyle w:val="Compact"/>
              <w:jc w:val="right"/>
            </w:pPr>
            <w:r>
              <w:t xml:space="preserve">738,5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17 784</w:t>
            </w:r>
          </w:p>
        </w:tc>
        <w:tc>
          <w:p>
            <w:pPr>
              <w:pStyle w:val="Compact"/>
              <w:jc w:val="right"/>
            </w:pPr>
            <w:r>
              <w:t xml:space="preserve">1 674,6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19 395</w:t>
            </w:r>
          </w:p>
        </w:tc>
        <w:tc>
          <w:p>
            <w:pPr>
              <w:pStyle w:val="Compact"/>
              <w:jc w:val="right"/>
            </w:pPr>
            <w:r>
              <w:t xml:space="preserve">2 784,9</w:t>
            </w:r>
          </w:p>
        </w:tc>
        <w:tc>
          <w:p>
            <w:pPr>
              <w:pStyle w:val="Compact"/>
              <w:jc w:val="right"/>
            </w:pPr>
            <w:r>
              <w:t xml:space="preserve">195,4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20 537</w:t>
            </w:r>
          </w:p>
        </w:tc>
        <w:tc>
          <w:p>
            <w:pPr>
              <w:pStyle w:val="Compact"/>
              <w:jc w:val="right"/>
            </w:pPr>
            <w:r>
              <w:t xml:space="preserve">4 322,7</w:t>
            </w:r>
          </w:p>
        </w:tc>
        <w:tc>
          <w:p>
            <w:pPr>
              <w:pStyle w:val="Compact"/>
              <w:jc w:val="right"/>
            </w:pPr>
            <w:r>
              <w:t xml:space="preserve">130,6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22 159</w:t>
            </w:r>
          </w:p>
        </w:tc>
        <w:tc>
          <w:p>
            <w:pPr>
              <w:pStyle w:val="Compact"/>
              <w:jc w:val="right"/>
            </w:pPr>
            <w:r>
              <w:t xml:space="preserve">4 970,3</w:t>
            </w:r>
          </w:p>
        </w:tc>
        <w:tc>
          <w:p>
            <w:pPr>
              <w:pStyle w:val="Compact"/>
              <w:jc w:val="right"/>
            </w:pPr>
            <w:r>
              <w:t xml:space="preserve">195,4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48 066</w:t>
            </w:r>
          </w:p>
        </w:tc>
        <w:tc>
          <w:p>
            <w:pPr>
              <w:pStyle w:val="Compact"/>
              <w:jc w:val="right"/>
            </w:pPr>
            <w:r>
              <w:t xml:space="preserve">57 490,0</w:t>
            </w:r>
          </w:p>
        </w:tc>
        <w:tc>
          <w:p>
            <w:pPr>
              <w:pStyle w:val="Compact"/>
              <w:jc w:val="right"/>
            </w:pPr>
            <w:r>
              <w:t xml:space="preserve">295,4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7 301</w:t>
            </w:r>
          </w:p>
        </w:tc>
        <w:tc>
          <w:p>
            <w:pPr>
              <w:pStyle w:val="Compact"/>
              <w:jc w:val="right"/>
            </w:pPr>
            <w:r>
              <w:t xml:space="preserve">7 301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3,75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20 052</w:t>
            </w:r>
          </w:p>
        </w:tc>
        <w:tc>
          <w:p>
            <w:pPr>
              <w:pStyle w:val="Compact"/>
              <w:jc w:val="right"/>
            </w:pPr>
            <w:r>
              <w:t xml:space="preserve">20 843</w:t>
            </w:r>
          </w:p>
        </w:tc>
        <w:tc>
          <w:p>
            <w:pPr>
              <w:pStyle w:val="Compact"/>
              <w:jc w:val="right"/>
            </w:pPr>
            <w:r>
              <w:t xml:space="preserve">21 079</w:t>
            </w:r>
          </w:p>
        </w:tc>
        <w:tc>
          <w:p>
            <w:pPr>
              <w:pStyle w:val="Compact"/>
              <w:jc w:val="right"/>
            </w:pPr>
            <w:r>
              <w:t xml:space="preserve">7,84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22 856</w:t>
            </w:r>
          </w:p>
        </w:tc>
        <w:tc>
          <w:p>
            <w:pPr>
              <w:pStyle w:val="Compact"/>
              <w:jc w:val="right"/>
            </w:pPr>
            <w:r>
              <w:t xml:space="preserve">23 640</w:t>
            </w:r>
          </w:p>
        </w:tc>
        <w:tc>
          <w:p>
            <w:pPr>
              <w:pStyle w:val="Compact"/>
              <w:jc w:val="right"/>
            </w:pPr>
            <w:r>
              <w:t xml:space="preserve">23 840</w:t>
            </w:r>
          </w:p>
        </w:tc>
        <w:tc>
          <w:p>
            <w:pPr>
              <w:pStyle w:val="Compact"/>
              <w:jc w:val="right"/>
            </w:pPr>
            <w:r>
              <w:t xml:space="preserve">12,22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24 860</w:t>
            </w:r>
          </w:p>
        </w:tc>
        <w:tc>
          <w:p>
            <w:pPr>
              <w:pStyle w:val="Compact"/>
              <w:jc w:val="right"/>
            </w:pPr>
            <w:r>
              <w:t xml:space="preserve">25 678</w:t>
            </w:r>
          </w:p>
        </w:tc>
        <w:tc>
          <w:p>
            <w:pPr>
              <w:pStyle w:val="Compact"/>
              <w:jc w:val="right"/>
            </w:pPr>
            <w:r>
              <w:t xml:space="preserve">28 635</w:t>
            </w:r>
          </w:p>
        </w:tc>
        <w:tc>
          <w:p>
            <w:pPr>
              <w:pStyle w:val="Compact"/>
              <w:jc w:val="right"/>
            </w:pPr>
            <w:r>
              <w:t xml:space="preserve">14,63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26 262</w:t>
            </w:r>
          </w:p>
        </w:tc>
        <w:tc>
          <w:p>
            <w:pPr>
              <w:pStyle w:val="Compact"/>
              <w:jc w:val="right"/>
            </w:pPr>
            <w:r>
              <w:t xml:space="preserve">27 321</w:t>
            </w:r>
          </w:p>
        </w:tc>
        <w:tc>
          <w:p>
            <w:pPr>
              <w:pStyle w:val="Compact"/>
              <w:jc w:val="right"/>
            </w:pPr>
            <w:r>
              <w:t xml:space="preserve">29 866</w:t>
            </w:r>
          </w:p>
        </w:tc>
        <w:tc>
          <w:p>
            <w:pPr>
              <w:pStyle w:val="Compact"/>
              <w:jc w:val="right"/>
            </w:pPr>
            <w:r>
              <w:t xml:space="preserve">18,53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98 163</w:t>
            </w:r>
          </w:p>
        </w:tc>
        <w:tc>
          <w:p>
            <w:pPr>
              <w:pStyle w:val="Compact"/>
              <w:jc w:val="right"/>
            </w:pPr>
            <w:r>
              <w:t xml:space="preserve">99 718</w:t>
            </w:r>
          </w:p>
        </w:tc>
        <w:tc>
          <w:p>
            <w:pPr>
              <w:pStyle w:val="Compact"/>
              <w:jc w:val="right"/>
            </w:pPr>
            <w:r>
              <w:t xml:space="preserve">122 778</w:t>
            </w:r>
          </w:p>
        </w:tc>
        <w:tc>
          <w:p>
            <w:pPr>
              <w:pStyle w:val="Compact"/>
              <w:jc w:val="right"/>
            </w:pPr>
            <w:r>
              <w:t xml:space="preserve">57,65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66" w:name="contractuels-vacataires-et-stagiaires-inclus-1"/>
      <w:bookmarkEnd w:id="66"/>
      <w:r>
        <w:t xml:space="preserve">3.3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2014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448,2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1 261,2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1 832,4</w:t>
            </w:r>
          </w:p>
        </w:tc>
        <w:tc>
          <w:p>
            <w:pPr>
              <w:pStyle w:val="Compact"/>
              <w:jc w:val="right"/>
            </w:pPr>
            <w:r>
              <w:t xml:space="preserve">34,17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2 335,6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13 491,6</w:t>
            </w:r>
          </w:p>
        </w:tc>
        <w:tc>
          <w:p>
            <w:pPr>
              <w:pStyle w:val="Compact"/>
              <w:jc w:val="right"/>
            </w:pPr>
            <w:r>
              <w:t xml:space="preserve">615,76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4 368</w:t>
            </w:r>
          </w:p>
        </w:tc>
        <w:tc>
          <w:p>
            <w:pPr>
              <w:pStyle w:val="Compact"/>
              <w:jc w:val="right"/>
            </w:pPr>
            <w:r>
              <w:t xml:space="preserve">3 061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7 936</w:t>
            </w:r>
          </w:p>
        </w:tc>
        <w:tc>
          <w:p>
            <w:pPr>
              <w:pStyle w:val="Compact"/>
              <w:jc w:val="right"/>
            </w:pPr>
            <w:r>
              <w:t xml:space="preserve">17 344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13 060</w:t>
            </w:r>
          </w:p>
        </w:tc>
        <w:tc>
          <w:p>
            <w:pPr>
              <w:pStyle w:val="Compact"/>
              <w:jc w:val="right"/>
            </w:pPr>
            <w:r>
              <w:t xml:space="preserve">19 872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14 488</w:t>
            </w:r>
          </w:p>
        </w:tc>
        <w:tc>
          <w:p>
            <w:pPr>
              <w:pStyle w:val="Compact"/>
              <w:jc w:val="right"/>
            </w:pPr>
            <w:r>
              <w:t xml:space="preserve">26 517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18 968</w:t>
            </w:r>
          </w:p>
        </w:tc>
        <w:tc>
          <w:p>
            <w:pPr>
              <w:pStyle w:val="Compact"/>
              <w:jc w:val="right"/>
            </w:pPr>
            <w:r>
              <w:t xml:space="preserve">23 603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55 012</w:t>
            </w:r>
          </w:p>
        </w:tc>
        <w:tc>
          <w:p>
            <w:pPr>
              <w:pStyle w:val="Compact"/>
              <w:jc w:val="right"/>
            </w:pPr>
            <w:r>
              <w:t xml:space="preserve">242 185</w:t>
            </w:r>
          </w:p>
        </w:tc>
        <w:tc>
          <w:p>
            <w:pPr>
              <w:pStyle w:val="Compact"/>
            </w:pPr>
          </w:p>
        </w:tc>
      </w:tr>
    </w:tbl>
    <w:p>
      <w:hyperlink r:id="rId69">
        <w:r>
          <w:rPr>
            <w:rStyle w:val="Link"/>
          </w:rPr>
          <w:t xml:space="preserve">Lien vers la base des rémunérations</w:t>
        </w:r>
      </w:hyperlink>
    </w:p>
    <w:p>
      <w:pPr>
        <w:pStyle w:val="Heading2"/>
      </w:pPr>
      <w:bookmarkStart w:id="70" w:name="comparaisons-source-inseedgcl"/>
      <w:bookmarkEnd w:id="70"/>
      <w:r>
        <w:t xml:space="preserve">3.4 Comparaisons source INSEE/DGCL</w:t>
      </w:r>
    </w:p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25 908,0</w:t>
            </w:r>
          </w:p>
        </w:tc>
        <w:tc>
          <w:p>
            <w:pPr>
              <w:pStyle w:val="Compact"/>
              <w:jc w:val="center"/>
            </w:pPr>
            <w:r>
              <w:t xml:space="preserve">26 340,0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26 676,0</w:t>
            </w:r>
          </w:p>
        </w:tc>
        <w:tc>
          <w:p>
            <w:pPr>
              <w:pStyle w:val="Compact"/>
              <w:jc w:val="center"/>
            </w:pPr>
            <w:r>
              <w:t xml:space="preserve">27 108,0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22 836,0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33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Salaire brut</w:t>
            </w:r>
          </w:p>
        </w:tc>
        <w:tc>
          <w:p>
            <w:pPr>
              <w:pStyle w:val="Compact"/>
              <w:jc w:val="center"/>
            </w:pPr>
            <w:r>
              <w:t xml:space="preserve">26305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26660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27108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Traitement brut</w:t>
            </w:r>
          </w:p>
        </w:tc>
        <w:tc>
          <w:p>
            <w:pPr>
              <w:pStyle w:val="Compact"/>
              <w:jc w:val="center"/>
            </w:pPr>
            <w:r>
              <w:t xml:space="preserve">20350</w:t>
            </w:r>
          </w:p>
        </w:tc>
        <w:tc>
          <w:p>
            <w:pPr>
              <w:pStyle w:val="Compact"/>
              <w:jc w:val="center"/>
            </w:pPr>
            <w:r>
              <w:t xml:space="preserve">22,6</w:t>
            </w:r>
          </w:p>
        </w:tc>
        <w:tc>
          <w:p>
            <w:pPr>
              <w:pStyle w:val="Compact"/>
              <w:jc w:val="center"/>
            </w:pPr>
            <w:r>
              <w:t xml:space="preserve">20562</w:t>
            </w:r>
          </w:p>
        </w:tc>
        <w:tc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p>
            <w:pPr>
              <w:pStyle w:val="Compact"/>
              <w:jc w:val="center"/>
            </w:pPr>
            <w:r>
              <w:t xml:space="preserve">20724</w:t>
            </w:r>
          </w:p>
        </w:tc>
        <w:tc>
          <w:p>
            <w:pPr>
              <w:pStyle w:val="Compact"/>
              <w:jc w:val="center"/>
            </w:pPr>
            <w:r>
              <w:t xml:space="preserve">23,6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Primes et rémunérations annexes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center"/>
            </w:pPr>
            <w:r>
              <w:t xml:space="preserve">5955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6098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71">
        <w:r>
          <w:rPr>
            <w:rStyle w:val="Link"/>
          </w:rPr>
          <w:t xml:space="preserve">Source INSEE</w:t>
        </w:r>
      </w:hyperlink>
      <w:r>
        <w:br w:type="textWrapping"/>
      </w:r>
      <w:hyperlink r:id="rId72">
        <w:r>
          <w:rPr>
            <w:rStyle w:val="Link"/>
          </w:rPr>
          <w:t xml:space="preserve">Source DGCL</w:t>
        </w:r>
      </w:hyperlink>
      <w:r>
        <w:br w:type="textWrapping"/>
      </w:r>
      <w:hyperlink r:id="rId73">
        <w:r>
          <w:rPr>
            <w:rStyle w:val="Link"/>
          </w:rPr>
          <w:t xml:space="preserve">Source DGFIP PLF 2015</w:t>
        </w:r>
      </w:hyperlink>
    </w:p>
    <w:p>
      <w:pPr>
        <w:pStyle w:val="Heading1"/>
      </w:pPr>
      <w:bookmarkStart w:id="74" w:name="remunerations-nettes-evolutions-sur-la-periode-2012---2014"/>
      <w:bookmarkEnd w:id="74"/>
      <w:r>
        <w:t xml:space="preserve">4. Rémunérations nettes : évolutions sur la période 2012 - 2014</w:t>
      </w:r>
    </w:p>
    <w:p>
      <w:r>
        <w:t xml:space="preserve">Nombre d'exercices: 3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p>
      <w:pPr>
        <w:pStyle w:val="Heading2"/>
      </w:pPr>
      <w:bookmarkStart w:id="75" w:name="distribution-de-la-remuneration-nette-moyenne-sur-la-periode"/>
      <w:bookmarkEnd w:id="75"/>
      <w:r>
        <w:t xml:space="preserve">4.1 Distribution de la rémunération nette moyenne sur la période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264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78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79">
        <w:r>
          <w:rPr>
            <w:rStyle w:val="Link"/>
          </w:rPr>
          <w:t xml:space="preserve">Lien vers la base de données détaillée par année</w:t>
        </w:r>
      </w:hyperlink>
    </w:p>
    <w:p>
      <w:pPr>
        <w:pStyle w:val="Heading2"/>
      </w:pPr>
      <w:bookmarkStart w:id="80" w:name="evolutions-des-remunerations-nettes-sur-la-periode-2012---2014"/>
      <w:bookmarkEnd w:id="80"/>
      <w:r>
        <w:t xml:space="preserve">4.2 Evolutions des rémunérations nettes sur la période 2012 - 2014</w:t>
      </w:r>
    </w:p>
    <w:p>
      <w:pPr>
        <w:pStyle w:val="Heading3"/>
      </w:pPr>
      <w:bookmarkStart w:id="81" w:name="ensemble-des-personnels-fonctionnaires-et-non-titulaires-hors-elus"/>
      <w:bookmarkEnd w:id="81"/>
      <w:r>
        <w:t xml:space="preserve">4.2.1 Ensemble des personnels fonctionnaires et non titulaires (hors élus)</w:t>
      </w:r>
    </w:p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5 620,2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18 987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6 061,3</w:t>
            </w:r>
          </w:p>
        </w:tc>
        <w:tc>
          <w:p>
            <w:pPr>
              <w:pStyle w:val="Compact"/>
              <w:jc w:val="center"/>
            </w:pPr>
            <w:r>
              <w:t xml:space="preserve">35,9</w:t>
            </w:r>
          </w:p>
        </w:tc>
        <w:tc>
          <w:p>
            <w:pPr>
              <w:pStyle w:val="Compact"/>
              <w:jc w:val="center"/>
            </w:pPr>
            <w:r>
              <w:t xml:space="preserve">19 181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7 637,1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22 595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349,59</w:t>
            </w:r>
          </w:p>
        </w:tc>
        <w:tc>
          <w:p>
            <w:pPr>
              <w:pStyle w:val="Compact"/>
              <w:jc w:val="center"/>
            </w:pPr>
            <w:r>
              <w:t xml:space="preserve">0,0 685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-2 196,2</w:t>
            </w:r>
          </w:p>
        </w:tc>
        <w:tc>
          <w:p>
            <w:pPr>
              <w:pStyle w:val="Compact"/>
              <w:jc w:val="center"/>
            </w:pPr>
            <w:r>
              <w:t xml:space="preserve">-0,493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4,6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3 335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85 750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201 900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2 centiles extrêmaux</w:t>
      </w:r>
      <w:r>
        <w:br w:type="textWrapping"/>
      </w:r>
      <w:r>
        <w:t xml:space="preserve">  - sont au moins présents 1 jour(s)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25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21 876,0</w:t>
            </w:r>
          </w:p>
        </w:tc>
        <w:tc>
          <w:p>
            <w:pPr>
              <w:pStyle w:val="Compact"/>
              <w:jc w:val="center"/>
            </w:pPr>
            <w:r>
              <w:t xml:space="preserve">22 176,0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22 632,0</w:t>
            </w:r>
          </w:p>
        </w:tc>
        <w:tc>
          <w:p>
            <w:pPr>
              <w:pStyle w:val="Compact"/>
              <w:jc w:val="center"/>
            </w:pPr>
            <w:r>
              <w:t xml:space="preserve">22 920,0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18 864,0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17 496,0</w:t>
            </w:r>
          </w:p>
        </w:tc>
        <w:tc>
          <w:p>
            <w:pPr>
              <w:pStyle w:val="Compact"/>
              <w:jc w:val="center"/>
            </w:pPr>
            <w:r>
              <w:t xml:space="preserve">15 288,0</w:t>
            </w:r>
          </w:p>
        </w:tc>
        <w:tc>
          <w:p>
            <w:pPr>
              <w:pStyle w:val="Compact"/>
              <w:jc w:val="center"/>
            </w:pPr>
            <w:r>
              <w:t xml:space="preserve">16 584,0</w:t>
            </w:r>
          </w:p>
        </w:tc>
        <w:tc>
          <w:p>
            <w:pPr>
              <w:pStyle w:val="Compact"/>
              <w:jc w:val="center"/>
            </w:pPr>
            <w:r>
              <w:t xml:space="preserve">14 040,0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20 916,0</w:t>
            </w:r>
          </w:p>
        </w:tc>
        <w:tc>
          <w:p>
            <w:pPr>
              <w:pStyle w:val="Compact"/>
              <w:jc w:val="center"/>
            </w:pPr>
            <w:r>
              <w:t xml:space="preserve">16 512,0</w:t>
            </w:r>
          </w:p>
        </w:tc>
        <w:tc>
          <w:p>
            <w:pPr>
              <w:pStyle w:val="Compact"/>
              <w:jc w:val="center"/>
            </w:pPr>
            <w:r>
              <w:t xml:space="preserve">18 168,0</w:t>
            </w:r>
          </w:p>
        </w:tc>
        <w:tc>
          <w:p>
            <w:pPr>
              <w:pStyle w:val="Compact"/>
              <w:jc w:val="center"/>
            </w:pPr>
            <w:r>
              <w:t xml:space="preserve">15 660,0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23 052,0</w:t>
            </w:r>
          </w:p>
        </w:tc>
        <w:tc>
          <w:p>
            <w:pPr>
              <w:pStyle w:val="Compact"/>
              <w:jc w:val="center"/>
            </w:pPr>
            <w:r>
              <w:t xml:space="preserve">17 508,0</w:t>
            </w:r>
          </w:p>
        </w:tc>
        <w:tc>
          <w:p>
            <w:pPr>
              <w:pStyle w:val="Compact"/>
              <w:jc w:val="center"/>
            </w:pPr>
            <w:r>
              <w:t xml:space="preserve">19 620,0</w:t>
            </w:r>
          </w:p>
        </w:tc>
        <w:tc>
          <w:p>
            <w:pPr>
              <w:pStyle w:val="Compact"/>
              <w:jc w:val="center"/>
            </w:pPr>
            <w:r>
              <w:t xml:space="preserve">17 136,0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24 912,0</w:t>
            </w:r>
          </w:p>
        </w:tc>
        <w:tc>
          <w:p>
            <w:pPr>
              <w:pStyle w:val="Compact"/>
              <w:jc w:val="center"/>
            </w:pPr>
            <w:r>
              <w:t xml:space="preserve">18 480,0</w:t>
            </w:r>
          </w:p>
        </w:tc>
        <w:tc>
          <w:p>
            <w:pPr>
              <w:pStyle w:val="Compact"/>
              <w:jc w:val="center"/>
            </w:pPr>
            <w:r>
              <w:t xml:space="preserve">21 048,0</w:t>
            </w:r>
          </w:p>
        </w:tc>
        <w:tc>
          <w:p>
            <w:pPr>
              <w:pStyle w:val="Compact"/>
              <w:jc w:val="center"/>
            </w:pPr>
            <w:r>
              <w:t xml:space="preserve">18 708,0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26 832,0</w:t>
            </w:r>
          </w:p>
        </w:tc>
        <w:tc>
          <w:p>
            <w:pPr>
              <w:pStyle w:val="Compact"/>
              <w:jc w:val="center"/>
            </w:pPr>
            <w:r>
              <w:t xml:space="preserve">19 632,0</w:t>
            </w:r>
          </w:p>
        </w:tc>
        <w:tc>
          <w:p>
            <w:pPr>
              <w:pStyle w:val="Compact"/>
              <w:jc w:val="center"/>
            </w:pPr>
            <w:r>
              <w:t xml:space="preserve">22 596,0</w:t>
            </w:r>
          </w:p>
        </w:tc>
        <w:tc>
          <w:p>
            <w:pPr>
              <w:pStyle w:val="Compact"/>
              <w:jc w:val="center"/>
            </w:pPr>
            <w:r>
              <w:t xml:space="preserve">20 544,0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28 944,0</w:t>
            </w:r>
          </w:p>
        </w:tc>
        <w:tc>
          <w:p>
            <w:pPr>
              <w:pStyle w:val="Compact"/>
              <w:jc w:val="center"/>
            </w:pPr>
            <w:r>
              <w:t xml:space="preserve">21 012,0</w:t>
            </w:r>
          </w:p>
        </w:tc>
        <w:tc>
          <w:p>
            <w:pPr>
              <w:pStyle w:val="Compact"/>
              <w:jc w:val="center"/>
            </w:pPr>
            <w:r>
              <w:t xml:space="preserve">24 504,0</w:t>
            </w:r>
          </w:p>
        </w:tc>
        <w:tc>
          <w:p>
            <w:pPr>
              <w:pStyle w:val="Compact"/>
              <w:jc w:val="center"/>
            </w:pPr>
            <w:r>
              <w:t xml:space="preserve">22 824,0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31 632,0</w:t>
            </w:r>
          </w:p>
        </w:tc>
        <w:tc>
          <w:p>
            <w:pPr>
              <w:pStyle w:val="Compact"/>
              <w:jc w:val="center"/>
            </w:pPr>
            <w:r>
              <w:t xml:space="preserve">22 860,0</w:t>
            </w:r>
          </w:p>
        </w:tc>
        <w:tc>
          <w:p>
            <w:pPr>
              <w:pStyle w:val="Compact"/>
              <w:jc w:val="center"/>
            </w:pPr>
            <w:r>
              <w:t xml:space="preserve">27 216,0</w:t>
            </w:r>
          </w:p>
        </w:tc>
        <w:tc>
          <w:p>
            <w:pPr>
              <w:pStyle w:val="Compact"/>
              <w:jc w:val="center"/>
            </w:pPr>
            <w:r>
              <w:t xml:space="preserve">25 872,0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35 592,0</w:t>
            </w:r>
          </w:p>
        </w:tc>
        <w:tc>
          <w:p>
            <w:pPr>
              <w:pStyle w:val="Compact"/>
              <w:jc w:val="center"/>
            </w:pPr>
            <w:r>
              <w:t xml:space="preserve">25 596,0</w:t>
            </w:r>
          </w:p>
        </w:tc>
        <w:tc>
          <w:p>
            <w:pPr>
              <w:pStyle w:val="Compact"/>
              <w:jc w:val="center"/>
            </w:pPr>
            <w:r>
              <w:t xml:space="preserve">30 996,0</w:t>
            </w:r>
          </w:p>
        </w:tc>
        <w:tc>
          <w:p>
            <w:pPr>
              <w:pStyle w:val="Compact"/>
              <w:jc w:val="center"/>
            </w:pPr>
            <w:r>
              <w:t xml:space="preserve">30 828,0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42 456,0</w:t>
            </w:r>
          </w:p>
        </w:tc>
        <w:tc>
          <w:p>
            <w:pPr>
              <w:pStyle w:val="Compact"/>
              <w:jc w:val="center"/>
            </w:pPr>
            <w:r>
              <w:t xml:space="preserve">30 876,0</w:t>
            </w:r>
          </w:p>
        </w:tc>
        <w:tc>
          <w:p>
            <w:pPr>
              <w:pStyle w:val="Compact"/>
              <w:jc w:val="center"/>
            </w:pPr>
            <w:r>
              <w:t xml:space="preserve">37 812,0</w:t>
            </w:r>
          </w:p>
        </w:tc>
        <w:tc>
          <w:p>
            <w:pPr>
              <w:pStyle w:val="Compact"/>
              <w:jc w:val="center"/>
            </w:pPr>
            <w:r>
              <w:t xml:space="preserve">40 800,0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26 040,0</w:t>
            </w:r>
          </w:p>
        </w:tc>
        <w:tc>
          <w:p>
            <w:pPr>
              <w:pStyle w:val="Compact"/>
              <w:jc w:val="center"/>
            </w:pPr>
            <w:r>
              <w:t xml:space="preserve">20 580,0</w:t>
            </w:r>
          </w:p>
        </w:tc>
        <w:tc>
          <w:p>
            <w:pPr>
              <w:pStyle w:val="Compact"/>
              <w:jc w:val="center"/>
            </w:pPr>
            <w:r>
              <w:t xml:space="preserve">15 972,0</w:t>
            </w:r>
          </w:p>
        </w:tc>
        <w:tc>
          <w:p>
            <w:pPr>
              <w:pStyle w:val="Compact"/>
              <w:jc w:val="center"/>
            </w:pPr>
            <w:r>
              <w:t xml:space="preserve">13 620,0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28 992,0</w:t>
            </w:r>
          </w:p>
        </w:tc>
        <w:tc>
          <w:p>
            <w:pPr>
              <w:pStyle w:val="Compact"/>
              <w:jc w:val="center"/>
            </w:pPr>
            <w:r>
              <w:t xml:space="preserve">22 272,0</w:t>
            </w:r>
          </w:p>
        </w:tc>
        <w:tc>
          <w:p>
            <w:pPr>
              <w:pStyle w:val="Compact"/>
              <w:jc w:val="center"/>
            </w:pPr>
            <w:r>
              <w:t xml:space="preserve">16 896,0</w:t>
            </w:r>
          </w:p>
        </w:tc>
        <w:tc>
          <w:p>
            <w:pPr>
              <w:pStyle w:val="Compact"/>
              <w:jc w:val="center"/>
            </w:pPr>
            <w:r>
              <w:t xml:space="preserve">14 340,0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31 272,0</w:t>
            </w:r>
          </w:p>
        </w:tc>
        <w:tc>
          <w:p>
            <w:pPr>
              <w:pStyle w:val="Compact"/>
              <w:jc w:val="center"/>
            </w:pPr>
            <w:r>
              <w:t xml:space="preserve">23 652,0</w:t>
            </w:r>
          </w:p>
        </w:tc>
        <w:tc>
          <w:p>
            <w:pPr>
              <w:pStyle w:val="Compact"/>
              <w:jc w:val="center"/>
            </w:pPr>
            <w:r>
              <w:t xml:space="preserve">17 652,0</w:t>
            </w:r>
          </w:p>
        </w:tc>
        <w:tc>
          <w:p>
            <w:pPr>
              <w:pStyle w:val="Compact"/>
              <w:jc w:val="center"/>
            </w:pPr>
            <w:r>
              <w:t xml:space="preserve">15 024,0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33 468,0</w:t>
            </w:r>
          </w:p>
        </w:tc>
        <w:tc>
          <w:p>
            <w:pPr>
              <w:pStyle w:val="Compact"/>
              <w:jc w:val="center"/>
            </w:pPr>
            <w:r>
              <w:t xml:space="preserve">24 960,0</w:t>
            </w:r>
          </w:p>
        </w:tc>
        <w:tc>
          <w:p>
            <w:pPr>
              <w:pStyle w:val="Compact"/>
              <w:jc w:val="center"/>
            </w:pPr>
            <w:r>
              <w:t xml:space="preserve">18 360,0</w:t>
            </w:r>
          </w:p>
        </w:tc>
        <w:tc>
          <w:p>
            <w:pPr>
              <w:pStyle w:val="Compact"/>
              <w:jc w:val="center"/>
            </w:pPr>
            <w:r>
              <w:t xml:space="preserve">15 684,0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35 820,0</w:t>
            </w:r>
          </w:p>
        </w:tc>
        <w:tc>
          <w:p>
            <w:pPr>
              <w:pStyle w:val="Compact"/>
              <w:jc w:val="center"/>
            </w:pPr>
            <w:r>
              <w:t xml:space="preserve">26 244,0</w:t>
            </w:r>
          </w:p>
        </w:tc>
        <w:tc>
          <w:p>
            <w:pPr>
              <w:pStyle w:val="Compact"/>
              <w:jc w:val="center"/>
            </w:pPr>
            <w:r>
              <w:t xml:space="preserve">19 164,0</w:t>
            </w:r>
          </w:p>
        </w:tc>
        <w:tc>
          <w:p>
            <w:pPr>
              <w:pStyle w:val="Compact"/>
              <w:jc w:val="center"/>
            </w:pPr>
            <w:r>
              <w:t xml:space="preserve">16 368,0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38 664,0</w:t>
            </w:r>
          </w:p>
        </w:tc>
        <w:tc>
          <w:p>
            <w:pPr>
              <w:pStyle w:val="Compact"/>
              <w:jc w:val="center"/>
            </w:pPr>
            <w:r>
              <w:t xml:space="preserve">27 636,0</w:t>
            </w:r>
          </w:p>
        </w:tc>
        <w:tc>
          <w:p>
            <w:pPr>
              <w:pStyle w:val="Compact"/>
              <w:jc w:val="center"/>
            </w:pPr>
            <w:r>
              <w:t xml:space="preserve">20 100,0</w:t>
            </w:r>
          </w:p>
        </w:tc>
        <w:tc>
          <w:p>
            <w:pPr>
              <w:pStyle w:val="Compact"/>
              <w:jc w:val="center"/>
            </w:pPr>
            <w:r>
              <w:t xml:space="preserve">17 232,0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42 276,0</w:t>
            </w:r>
          </w:p>
        </w:tc>
        <w:tc>
          <w:p>
            <w:pPr>
              <w:pStyle w:val="Compact"/>
              <w:jc w:val="center"/>
            </w:pPr>
            <w:r>
              <w:t xml:space="preserve">29 160,0</w:t>
            </w:r>
          </w:p>
        </w:tc>
        <w:tc>
          <w:p>
            <w:pPr>
              <w:pStyle w:val="Compact"/>
              <w:jc w:val="center"/>
            </w:pPr>
            <w:r>
              <w:t xml:space="preserve">21 216,0</w:t>
            </w:r>
          </w:p>
        </w:tc>
        <w:tc>
          <w:p>
            <w:pPr>
              <w:pStyle w:val="Compact"/>
              <w:jc w:val="center"/>
            </w:pPr>
            <w:r>
              <w:t xml:space="preserve">18 480,0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47 124,0</w:t>
            </w:r>
          </w:p>
        </w:tc>
        <w:tc>
          <w:p>
            <w:pPr>
              <w:pStyle w:val="Compact"/>
              <w:jc w:val="center"/>
            </w:pPr>
            <w:r>
              <w:t xml:space="preserve">30 984,0</w:t>
            </w:r>
          </w:p>
        </w:tc>
        <w:tc>
          <w:p>
            <w:pPr>
              <w:pStyle w:val="Compact"/>
              <w:jc w:val="center"/>
            </w:pPr>
            <w:r>
              <w:t xml:space="preserve">22 680,0</w:t>
            </w:r>
          </w:p>
        </w:tc>
        <w:tc>
          <w:p>
            <w:pPr>
              <w:pStyle w:val="Compact"/>
              <w:jc w:val="center"/>
            </w:pPr>
            <w:r>
              <w:t xml:space="preserve">20 784,0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54 840,0</w:t>
            </w:r>
          </w:p>
        </w:tc>
        <w:tc>
          <w:p>
            <w:pPr>
              <w:pStyle w:val="Compact"/>
              <w:jc w:val="center"/>
            </w:pPr>
            <w:r>
              <w:t xml:space="preserve">33 804,0</w:t>
            </w:r>
          </w:p>
        </w:tc>
        <w:tc>
          <w:p>
            <w:pPr>
              <w:pStyle w:val="Compact"/>
              <w:jc w:val="center"/>
            </w:pPr>
            <w:r>
              <w:t xml:space="preserve">24 996,0</w:t>
            </w:r>
          </w:p>
        </w:tc>
        <w:tc>
          <w:p>
            <w:pPr>
              <w:pStyle w:val="Compact"/>
              <w:jc w:val="center"/>
            </w:pPr>
            <w:r>
              <w:t xml:space="preserve">26 916,0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21 876,0</w:t>
            </w:r>
          </w:p>
        </w:tc>
        <w:tc>
          <w:p>
            <w:pPr>
              <w:pStyle w:val="Compact"/>
              <w:jc w:val="center"/>
            </w:pPr>
            <w:r>
              <w:t xml:space="preserve">38 700,0</w:t>
            </w:r>
          </w:p>
        </w:tc>
        <w:tc>
          <w:p>
            <w:pPr>
              <w:pStyle w:val="Compact"/>
              <w:jc w:val="center"/>
            </w:pPr>
            <w:r>
              <w:t xml:space="preserve">26 928,0</w:t>
            </w:r>
          </w:p>
        </w:tc>
        <w:tc>
          <w:p>
            <w:pPr>
              <w:pStyle w:val="Compact"/>
              <w:jc w:val="center"/>
            </w:pPr>
            <w:r>
              <w:t xml:space="preserve">20 016,0</w:t>
            </w:r>
          </w:p>
        </w:tc>
      </w:tr>
    </w:tbl>
    <w:p>
      <w:hyperlink r:id="rId71">
        <w:r>
          <w:rPr>
            <w:rStyle w:val="Link"/>
          </w:rPr>
          <w:t xml:space="preserve">Source INSEE, onglets Figure3, F1web et F3web</w:t>
        </w:r>
      </w:hyperlink>
    </w:p>
    <w:p>
      <w:hyperlink r:id="rId78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2" w:name="fonctionnaires"/>
      <w:bookmarkEnd w:id="82"/>
      <w:r>
        <w:t xml:space="preserve">4.2.2 Fonctionnaires</w:t>
      </w:r>
    </w:p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4 327,1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19 849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4 810,1</w:t>
            </w:r>
          </w:p>
        </w:tc>
        <w:tc>
          <w:p>
            <w:pPr>
              <w:pStyle w:val="Compact"/>
              <w:jc w:val="center"/>
            </w:pPr>
            <w:r>
              <w:t xml:space="preserve">28,5</w:t>
            </w:r>
          </w:p>
        </w:tc>
        <w:tc>
          <w:p>
            <w:pPr>
              <w:pStyle w:val="Compact"/>
              <w:jc w:val="center"/>
            </w:pPr>
            <w:r>
              <w:t xml:space="preserve">20 382</w:t>
            </w:r>
          </w:p>
        </w:tc>
        <w:tc>
          <w:p>
            <w:pPr>
              <w:pStyle w:val="Compact"/>
              <w:jc w:val="center"/>
            </w:pPr>
            <w:r>
              <w:t xml:space="preserve">15,7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5 560,1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22 975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-4 213,4</w:t>
            </w:r>
          </w:p>
        </w:tc>
        <w:tc>
          <w:p>
            <w:pPr>
              <w:pStyle w:val="Compact"/>
              <w:jc w:val="center"/>
            </w:pPr>
            <w:r>
              <w:t xml:space="preserve">-0,472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-14 738</w:t>
            </w:r>
          </w:p>
        </w:tc>
        <w:tc>
          <w:p>
            <w:pPr>
              <w:pStyle w:val="Compact"/>
              <w:jc w:val="center"/>
            </w:pPr>
            <w:r>
              <w:t xml:space="preserve">-2,34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3,4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3 335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85 750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22 980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101 400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3 581,7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19 256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3 750,5</w:t>
            </w:r>
          </w:p>
        </w:tc>
        <w:tc>
          <w:p>
            <w:pPr>
              <w:pStyle w:val="Compact"/>
              <w:jc w:val="center"/>
            </w:pPr>
            <w:r>
              <w:t xml:space="preserve">-9,53</w:t>
            </w:r>
          </w:p>
        </w:tc>
        <w:tc>
          <w:p>
            <w:pPr>
              <w:pStyle w:val="Compact"/>
              <w:jc w:val="center"/>
            </w:pPr>
            <w:r>
              <w:t xml:space="preserve">20 383</w:t>
            </w:r>
          </w:p>
        </w:tc>
        <w:tc>
          <w:p>
            <w:pPr>
              <w:pStyle w:val="Compact"/>
              <w:jc w:val="center"/>
            </w:pPr>
            <w:r>
              <w:t xml:space="preserve">3,24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3 240,5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19 880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15 890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81 430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13 070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20 690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86 830</w:t>
            </w:r>
          </w:p>
        </w:tc>
      </w:tr>
    </w:tbl>
    <w:p>
      <w:hyperlink r:id="rId78">
        <w:r>
          <w:rPr>
            <w:rStyle w:val="Link"/>
          </w:rPr>
          <w:t xml:space="preserve">Lien vers la base de données</w:t>
        </w:r>
      </w:hyperlink>
    </w:p>
    <w:p>
      <w:pPr>
        <w:pStyle w:val="Heading2"/>
      </w:pPr>
      <w:bookmarkStart w:id="83" w:name="glissement-vieillesse-technicite-gvt"/>
      <w:bookmarkEnd w:id="83"/>
      <w:r>
        <w:t xml:space="preserve">4.3 Glissement vieillesse-technicité (GVT)</w:t>
      </w:r>
    </w:p>
    <w:p>
      <w:pPr>
        <w:pStyle w:val="Heading3"/>
      </w:pPr>
      <w:bookmarkStart w:id="84" w:name="ensemble-des-personnels"/>
      <w:bookmarkEnd w:id="84"/>
      <w:r>
        <w:t xml:space="preserve">4.3.1 Ensemble des personnels</w:t>
      </w:r>
    </w:p>
    <w:p>
      <w:r>
        <w:rPr>
          <w:i/>
        </w:rPr>
        <w:t xml:space="preserve">Cette section est consacrée à la rémunération moyenne des personnes en place (RMPP), définies comme présentes deux années entières consécutives avec la même quotité</w:t>
      </w:r>
      <w:r>
        <w:br w:type="textWrapping"/>
      </w:r>
      <w:r>
        <w:rPr>
          <w:i/>
        </w:rPr>
        <w:t xml:space="preserve">L'évolution de la RMPP permet d'étudier le glissement vieillesse-technicité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5440680" cy="2905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4 262,7</w:t>
            </w:r>
          </w:p>
        </w:tc>
        <w:tc>
          <w:p>
            <w:pPr>
              <w:pStyle w:val="Compact"/>
              <w:jc w:val="center"/>
            </w:pPr>
            <w:r>
              <w:t xml:space="preserve">-12,5</w:t>
            </w:r>
          </w:p>
        </w:tc>
        <w:tc>
          <w:p>
            <w:pPr>
              <w:pStyle w:val="Compact"/>
              <w:jc w:val="center"/>
            </w:pPr>
            <w:r>
              <w:t xml:space="preserve">19 919</w:t>
            </w:r>
          </w:p>
        </w:tc>
        <w:tc>
          <w:p>
            <w:pPr>
              <w:pStyle w:val="Compact"/>
              <w:jc w:val="center"/>
            </w:pPr>
            <w:r>
              <w:t xml:space="preserve">-1,47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3 729,1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19 627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4 966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15 440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17 250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19 100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20 420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85 750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6 535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16 390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18 510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22 020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22 600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101 400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-27,117</w:t>
            </w:r>
          </w:p>
        </w:tc>
        <w:tc>
          <w:p>
            <w:pPr>
              <w:pStyle w:val="Compact"/>
              <w:jc w:val="right"/>
            </w:pPr>
            <w:r>
              <w:t xml:space="preserve">-14,628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2,906</w:t>
            </w:r>
          </w:p>
        </w:tc>
        <w:tc>
          <w:p>
            <w:pPr>
              <w:pStyle w:val="Compact"/>
              <w:jc w:val="right"/>
            </w:pPr>
            <w:r>
              <w:t xml:space="preserve">1,442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7,727</w:t>
            </w:r>
          </w:p>
        </w:tc>
        <w:tc>
          <w:p>
            <w:pPr>
              <w:pStyle w:val="Compact"/>
              <w:jc w:val="right"/>
            </w:pPr>
            <w:r>
              <w:t xml:space="preserve">3,792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19,150</w:t>
            </w:r>
          </w:p>
        </w:tc>
        <w:tc>
          <w:p>
            <w:pPr>
              <w:pStyle w:val="Compact"/>
              <w:jc w:val="right"/>
            </w:pPr>
            <w:r>
              <w:t xml:space="preserve">8,429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19,778</w:t>
            </w:r>
          </w:p>
        </w:tc>
        <w:tc>
          <w:p>
            <w:pPr>
              <w:pStyle w:val="Compact"/>
              <w:jc w:val="right"/>
            </w:pPr>
            <w:r>
              <w:t xml:space="preserve">9,443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124,577</w:t>
            </w:r>
          </w:p>
        </w:tc>
        <w:tc>
          <w:p>
            <w:pPr>
              <w:pStyle w:val="Compact"/>
              <w:jc w:val="right"/>
            </w:pPr>
            <w:r>
              <w:t xml:space="preserve">49,859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6" w:name="titulaires-et-stagiaires"/>
      <w:bookmarkEnd w:id="86"/>
      <w:r>
        <w:t xml:space="preserve">4.3.2 Titulaires et stagiaires</w:t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3 957,9</w:t>
            </w:r>
          </w:p>
        </w:tc>
        <w:tc>
          <w:p>
            <w:pPr>
              <w:pStyle w:val="Compact"/>
              <w:jc w:val="center"/>
            </w:pPr>
            <w:r>
              <w:t xml:space="preserve">-10,7</w:t>
            </w:r>
          </w:p>
        </w:tc>
        <w:tc>
          <w:p>
            <w:pPr>
              <w:pStyle w:val="Compact"/>
              <w:jc w:val="center"/>
            </w:pPr>
            <w:r>
              <w:t xml:space="preserve">19 789</w:t>
            </w:r>
          </w:p>
        </w:tc>
        <w:tc>
          <w:p>
            <w:pPr>
              <w:pStyle w:val="Compact"/>
              <w:jc w:val="center"/>
            </w:pPr>
            <w:r>
              <w:t xml:space="preserve">-0,227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3 534,2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19 744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8 792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15 680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17 420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19 570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20 510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85 750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10 030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16 910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18 800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23 320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24 210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101 400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-18,003</w:t>
            </w:r>
          </w:p>
        </w:tc>
        <w:tc>
          <w:p>
            <w:pPr>
              <w:pStyle w:val="Compact"/>
              <w:jc w:val="right"/>
            </w:pPr>
            <w:r>
              <w:t xml:space="preserve">-9,448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3,415</w:t>
            </w:r>
          </w:p>
        </w:tc>
        <w:tc>
          <w:p>
            <w:pPr>
              <w:pStyle w:val="Compact"/>
              <w:jc w:val="right"/>
            </w:pPr>
            <w:r>
              <w:t xml:space="preserve">1,693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8,331</w:t>
            </w:r>
          </w:p>
        </w:tc>
        <w:tc>
          <w:p>
            <w:pPr>
              <w:pStyle w:val="Compact"/>
              <w:jc w:val="right"/>
            </w:pPr>
            <w:r>
              <w:t xml:space="preserve">4,082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20,799</w:t>
            </w:r>
          </w:p>
        </w:tc>
        <w:tc>
          <w:p>
            <w:pPr>
              <w:pStyle w:val="Compact"/>
              <w:jc w:val="right"/>
            </w:pPr>
            <w:r>
              <w:t xml:space="preserve">9,193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20,438</w:t>
            </w:r>
          </w:p>
        </w:tc>
        <w:tc>
          <w:p>
            <w:pPr>
              <w:pStyle w:val="Compact"/>
              <w:jc w:val="right"/>
            </w:pPr>
            <w:r>
              <w:t xml:space="preserve">9,744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124,577</w:t>
            </w:r>
          </w:p>
        </w:tc>
        <w:tc>
          <w:p>
            <w:pPr>
              <w:pStyle w:val="Compact"/>
              <w:jc w:val="right"/>
            </w:pPr>
            <w:r>
              <w:t xml:space="preserve">49,859</w:t>
            </w:r>
          </w:p>
        </w:tc>
        <w:tc>
          <w:p>
            <w:pPr>
              <w:pStyle w:val="Compact"/>
            </w:pPr>
          </w:p>
        </w:tc>
      </w:tr>
    </w:tbl>
    <w:p>
      <w:hyperlink r:id="rId78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2012 à 2014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50 sont dues soit à l'effet de noria soit à l'effet périmètre.</w:t>
      </w:r>
    </w:p>
    <w:p>
      <w:hyperlink r:id="rId78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7" w:name="comparaisons-avec-la-situation-nationale-des-remunerations"/>
      <w:bookmarkEnd w:id="87"/>
      <w:r>
        <w:t xml:space="preserve">4.4 Comparaisons avec la situation nationale des rémunérations</w:t>
      </w:r>
    </w:p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Moy. 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Médiane 2007-2011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brut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  <w:tc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SMPT net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>
            <w:pPr>
              <w:pStyle w:val="Compact"/>
              <w:jc w:val="center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brute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p>
            <w:pPr>
              <w:pStyle w:val="Compact"/>
              <w:jc w:val="center"/>
            </w:pPr>
            <w:r>
              <w:t xml:space="preserve">11,5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RMPP nette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2,3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  <w:tc>
          <w:p>
            <w:pPr>
              <w:pStyle w:val="Compact"/>
              <w:jc w:val="center"/>
            </w:pPr>
            <w:r>
              <w:t xml:space="preserve">10,9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variations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 de 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Évolution annuelle moy. 2007-2011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center"/>
            </w:pPr>
            <w:r>
              <w:t xml:space="preserve">20 784,0</w:t>
            </w:r>
          </w:p>
        </w:tc>
        <w:tc>
          <w:p>
            <w:pPr>
              <w:pStyle w:val="Compact"/>
              <w:jc w:val="center"/>
            </w:pPr>
            <w:r>
              <w:t xml:space="preserve">21 120,0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center"/>
            </w:pPr>
            <w:r>
              <w:t xml:space="preserve">19 415,0</w:t>
            </w:r>
          </w:p>
        </w:tc>
        <w:tc>
          <w:p>
            <w:pPr>
              <w:pStyle w:val="Compact"/>
              <w:jc w:val="center"/>
            </w:pPr>
            <w:r>
              <w:t xml:space="preserve">19 716,0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center"/>
            </w:pPr>
            <w:r>
              <w:t xml:space="preserve">22 882,0</w:t>
            </w:r>
          </w:p>
        </w:tc>
        <w:tc>
          <w:p>
            <w:pPr>
              <w:pStyle w:val="Compact"/>
              <w:jc w:val="center"/>
            </w:pPr>
            <w:r>
              <w:t xml:space="preserve">23 088,0</w:t>
            </w:r>
          </w:p>
        </w:tc>
        <w:tc>
          <w:p>
            <w:pPr>
              <w:pStyle w:val="Compact"/>
              <w:jc w:val="center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center"/>
            </w:pPr>
            <w:r>
              <w:t xml:space="preserve">21 299,0</w:t>
            </w:r>
          </w:p>
        </w:tc>
        <w:tc>
          <w:p>
            <w:pPr>
              <w:pStyle w:val="Compact"/>
              <w:jc w:val="center"/>
            </w:pPr>
            <w:r>
              <w:t xml:space="preserve">21 684,0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center"/>
            </w:pPr>
            <w:r>
              <w:t xml:space="preserve">24 487,0</w:t>
            </w:r>
          </w:p>
        </w:tc>
        <w:tc>
          <w:p>
            <w:pPr>
              <w:pStyle w:val="Compact"/>
              <w:jc w:val="center"/>
            </w:pPr>
            <w:r>
              <w:t xml:space="preserve">24 744,0</w:t>
            </w:r>
          </w:p>
        </w:tc>
        <w:tc>
          <w:p>
            <w:pPr>
              <w:pStyle w:val="Compact"/>
              <w:jc w:val="center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center"/>
            </w:pPr>
            <w:r>
              <w:t xml:space="preserve">29 811,0</w:t>
            </w:r>
          </w:p>
        </w:tc>
        <w:tc>
          <w:p>
            <w:pPr>
              <w:pStyle w:val="Compact"/>
              <w:jc w:val="center"/>
            </w:pPr>
            <w:r>
              <w:t xml:space="preserve">29 940,0</w:t>
            </w:r>
          </w:p>
        </w:tc>
        <w:tc>
          <w:p>
            <w:pPr>
              <w:pStyle w:val="Compact"/>
              <w:jc w:val="center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center"/>
            </w:pPr>
            <w:r>
              <w:t xml:space="preserve">22 432,0</w:t>
            </w:r>
          </w:p>
        </w:tc>
        <w:tc>
          <w:p>
            <w:pPr>
              <w:pStyle w:val="Compact"/>
              <w:jc w:val="center"/>
            </w:pPr>
            <w:r>
              <w:t xml:space="preserve">22 836,0</w:t>
            </w:r>
          </w:p>
        </w:tc>
        <w:tc>
          <w:p>
            <w:pPr>
              <w:pStyle w:val="Compact"/>
              <w:jc w:val="center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center"/>
            </w:pPr>
            <w:r>
              <w:t xml:space="preserve">24 680,0</w:t>
            </w:r>
          </w:p>
        </w:tc>
        <w:tc>
          <w:p>
            <w:pPr>
              <w:pStyle w:val="Compact"/>
              <w:jc w:val="center"/>
            </w:pPr>
            <w:r>
              <w:t xml:space="preserve">24 696,0</w:t>
            </w:r>
          </w:p>
        </w:tc>
        <w:tc>
          <w:p>
            <w:pPr>
              <w:pStyle w:val="Compact"/>
              <w:jc w:val="center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center"/>
            </w:pPr>
            <w:r>
              <w:t xml:space="preserve">21 873,0</w:t>
            </w:r>
          </w:p>
        </w:tc>
        <w:tc>
          <w:p>
            <w:pPr>
              <w:pStyle w:val="Compact"/>
              <w:jc w:val="center"/>
            </w:pPr>
            <w:r>
              <w:t xml:space="preserve">22 176,0</w:t>
            </w:r>
          </w:p>
        </w:tc>
        <w:tc>
          <w:p>
            <w:pPr>
              <w:pStyle w:val="Compact"/>
              <w:jc w:val="center"/>
            </w:pPr>
            <w:r>
              <w:t xml:space="preserve">2,9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71">
        <w:r>
          <w:rPr>
            <w:rStyle w:val="Link"/>
          </w:rPr>
          <w:t xml:space="preserve">Source INSEE données 2011 obsolètes</w:t>
        </w:r>
      </w:hyperlink>
      <w:r>
        <w:br w:type="textWrapping"/>
      </w:r>
      <w:hyperlink r:id="rId88">
        <w:r>
          <w:rPr>
            <w:rStyle w:val="Link"/>
          </w:rPr>
          <w:t xml:space="preserve">Source DGAFP</w:t>
        </w:r>
      </w:hyperlink>
      <w:r>
        <w:br w:type="textWrapping"/>
      </w:r>
      <w:hyperlink r:id="rId89">
        <w:r>
          <w:rPr>
            <w:rStyle w:val="Link"/>
          </w:rPr>
          <w:t xml:space="preserve">Source PLF 2014 données 2011 révisées p.151</w:t>
        </w:r>
      </w:hyperlink>
      <w:r>
        <w:br w:type="textWrapping"/>
      </w:r>
      <w:hyperlink r:id="rId73">
        <w:r>
          <w:rPr>
            <w:rStyle w:val="Link"/>
          </w:rPr>
          <w:t xml:space="preserve">Source PLF 2015 données 2012 p.130</w:t>
        </w:r>
      </w:hyperlink>
    </w:p>
    <w:p>
      <w:pPr>
        <w:pStyle w:val="Heading1"/>
      </w:pPr>
      <w:bookmarkStart w:id="90" w:name="tests-reglementaires"/>
      <w:bookmarkEnd w:id="90"/>
      <w:r>
        <w:t xml:space="preserve">5. Tests réglementaires</w:t>
      </w:r>
    </w:p>
    <w:p>
      <w:pPr>
        <w:pStyle w:val="Heading2"/>
      </w:pPr>
      <w:bookmarkStart w:id="91" w:name="controle-des-heures-supplementaires-des-nbi-et-primes-informatiques"/>
      <w:bookmarkEnd w:id="91"/>
      <w:r>
        <w:t xml:space="preserve">5.1 Contrôle des heures supplémentaires, des NBI et primes informatiques</w:t>
      </w:r>
    </w:p>
    <w:p>
      <w:r>
        <w:rPr>
          <w:b/>
        </w:rPr>
        <w:t xml:space="preserve">Dans cette partie, l'ensemble de la base de paie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Primes informatiques potentielles : aucune</w:t>
      </w:r>
    </w:p>
    <w:p>
      <w:r>
        <w:t xml:space="preserve"> </w:t>
      </w:r>
      <w:r>
        <w:rPr>
          <w:i/>
        </w:rPr>
        <w:t xml:space="preserve">Tableau 55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9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p>
      <w:r>
        <w:t xml:space="preserve"> </w:t>
      </w:r>
      <w:r>
        <w:rPr>
          <w:i/>
        </w:rPr>
        <w:t xml:space="preserve">Tableau 56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Rémunérations de NBI anormales, par agent et par exercice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Montants correspondants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74 921</w:t>
            </w:r>
          </w:p>
        </w:tc>
      </w:tr>
    </w:tbl>
    <w:p>
      <w:hyperlink r:id="rId94">
        <w:r>
          <w:rPr>
            <w:rStyle w:val="Link"/>
          </w:rPr>
          <w:t xml:space="preserve">Lien vers la base de données NBI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Est considéré comme manifestement anormal un total annuel de rémunérations NBI correspondant à un point d'indice net mensuel inférieur à 4 euros ou supérieur à 6 euros.</w:t>
      </w:r>
      <w:r>
        <w:br w:type="textWrapping"/>
      </w:r>
      <w:r>
        <w:rPr>
          <w:i/>
        </w:rPr>
        <w:t xml:space="preserve">Les rappels ne sont pas pris en compte dans les montants versés. Certains écarts peuvent être régularisés en les prenant en compte</w:t>
      </w:r>
    </w:p>
    <w:p>
      <w:r>
        <w:t xml:space="preserve"> </w:t>
      </w:r>
      <w:r>
        <w:rPr>
          <w:i/>
        </w:rPr>
        <w:t xml:space="preserve">Tableau 57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Cumuls des NBI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Montants versés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Point d'INM apparent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Point d'INM moyen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Contrôle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32 742,0</w:t>
            </w:r>
          </w:p>
        </w:tc>
        <w:tc>
          <w:p>
            <w:pPr>
              <w:pStyle w:val="Compact"/>
              <w:jc w:val="center"/>
            </w:pPr>
            <w:r>
              <w:t xml:space="preserve">37 381,4</w:t>
            </w:r>
          </w:p>
        </w:tc>
        <w:tc>
          <w:p>
            <w:pPr>
              <w:pStyle w:val="Compact"/>
              <w:jc w:val="center"/>
            </w:pPr>
            <w:r>
              <w:t xml:space="preserve">1,1</w:t>
            </w:r>
          </w:p>
        </w:tc>
        <w:tc>
          <w:p>
            <w:pPr>
              <w:pStyle w:val="Compact"/>
              <w:jc w:val="center"/>
            </w:pPr>
            <w:r>
              <w:t xml:space="preserve">4,6</w:t>
            </w:r>
          </w:p>
        </w:tc>
        <w:tc>
          <w:p>
            <w:pPr>
              <w:pStyle w:val="Compact"/>
              <w:jc w:val="center"/>
            </w:pPr>
            <w:r>
              <w:t xml:space="preserve">Rouge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33 061,0</w:t>
            </w:r>
          </w:p>
        </w:tc>
        <w:tc>
          <w:p>
            <w:pPr>
              <w:pStyle w:val="Compact"/>
              <w:jc w:val="center"/>
            </w:pPr>
            <w:r>
              <w:t xml:space="preserve">34 598,0</w:t>
            </w:r>
          </w:p>
        </w:tc>
        <w:tc>
          <w:p>
            <w:pPr>
              <w:pStyle w:val="Compact"/>
              <w:jc w:val="center"/>
            </w:pPr>
            <w:r>
              <w:t xml:space="preserve">1,0</w:t>
            </w:r>
          </w:p>
        </w:tc>
        <w:tc>
          <w:p>
            <w:pPr>
              <w:pStyle w:val="Compact"/>
              <w:jc w:val="center"/>
            </w:pPr>
            <w:r>
              <w:t xml:space="preserve">4,6</w:t>
            </w:r>
          </w:p>
        </w:tc>
        <w:tc>
          <w:p>
            <w:pPr>
              <w:pStyle w:val="Compact"/>
              <w:jc w:val="center"/>
            </w:pPr>
            <w:r>
              <w:t xml:space="preserve">Rouge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6 820,0</w:t>
            </w:r>
          </w:p>
        </w:tc>
        <w:tc>
          <w:p>
            <w:pPr>
              <w:pStyle w:val="Compact"/>
              <w:jc w:val="center"/>
            </w:pPr>
            <w:r>
              <w:t xml:space="preserve">31 858,7</w:t>
            </w:r>
          </w:p>
        </w:tc>
        <w:tc>
          <w:p>
            <w:pPr>
              <w:pStyle w:val="Compact"/>
              <w:jc w:val="center"/>
            </w:pPr>
            <w:r>
              <w:t xml:space="preserve">4,7</w:t>
            </w:r>
          </w:p>
        </w:tc>
        <w:tc>
          <w:p>
            <w:pPr>
              <w:pStyle w:val="Compact"/>
              <w:jc w:val="center"/>
            </w:pPr>
            <w:r>
              <w:t xml:space="preserve">4,6</w:t>
            </w:r>
          </w:p>
        </w:tc>
        <w:tc>
          <w:p>
            <w:pPr>
              <w:pStyle w:val="Compact"/>
              <w:jc w:val="center"/>
            </w:pPr>
            <w:r>
              <w:t xml:space="preserve">Vert</w:t>
            </w:r>
          </w:p>
        </w:tc>
      </w:tr>
    </w:tbl>
    <w:p>
      <w:r>
        <w:rPr>
          <w:i/>
        </w:rPr>
        <w:t xml:space="preserve">(a) Hors rappels sur rémunérations</w:t>
      </w:r>
    </w:p>
    <w:p>
      <w:hyperlink r:id="rId95">
        <w:r>
          <w:rPr>
            <w:rStyle w:val="Link"/>
          </w:rPr>
          <w:t xml:space="preserve">Lien vers la base de données des cumuls annuels de NBI</w:t>
        </w:r>
      </w:hyperlink>
    </w:p>
    <w:p>
      <w:pPr>
        <w:pStyle w:val="Heading2"/>
      </w:pPr>
      <w:bookmarkStart w:id="96" w:name="controle-des-vacations-pour-les-fonctionnaires"/>
      <w:bookmarkEnd w:id="96"/>
      <w:r>
        <w:t xml:space="preserve">5.2 Contrôle des vacations pour les fonctionnaires</w:t>
      </w:r>
    </w:p>
    <w:p>
      <w:r>
        <w:t xml:space="preserve">Il y a 0 fonctionnaire(s) effectuant des vacations pour son propre établissement. Les bulletins concernés sont donnés en lien.</w:t>
      </w:r>
    </w:p>
    <w:p>
      <w:hyperlink r:id="rId97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98">
        <w:r>
          <w:rPr>
            <w:rStyle w:val="Link"/>
          </w:rPr>
          <w:t xml:space="preserve">Lien vers les bulletins de paie correspondants</w:t>
        </w:r>
      </w:hyperlink>
    </w:p>
    <w:p>
      <w:pPr>
        <w:pStyle w:val="Heading2"/>
      </w:pPr>
      <w:bookmarkStart w:id="99" w:name="controles-sur-les-cumuls-traitement-indiciaire-indemnites-et-vacations-des-contractuels"/>
      <w:bookmarkEnd w:id="99"/>
      <w:r>
        <w:t xml:space="preserve">5.3 Contrôles sur les cumuls traitement indiciaire, indemnités et vacations des contractuels</w:t>
      </w:r>
    </w:p>
    <w:p>
      <w:r>
        <w:rPr>
          <w:b/>
        </w:rPr>
        <w:t xml:space="preserve">Contractuels effectuant des vacations (CEV)</w:t>
      </w:r>
    </w:p>
    <w:p>
      <w:r>
        <w:t xml:space="preserve"> </w:t>
      </w:r>
      <w:r>
        <w:rPr>
          <w:i/>
        </w:rPr>
        <w:t xml:space="preserve">Tableau 58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0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101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102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103">
        <w:r>
          <w:rPr>
            <w:rStyle w:val="Link"/>
          </w:rPr>
          <w:t xml:space="preserve">Lien vers la base de données Lignes de traitement indiciaire pour CEV</w:t>
        </w:r>
      </w:hyperlink>
    </w:p>
    <w:p>
      <w:pPr>
        <w:pStyle w:val="Heading2"/>
      </w:pPr>
      <w:bookmarkStart w:id="104" w:name="controle-sur-les-indemnites-iat-et-ifts"/>
      <w:bookmarkEnd w:id="104"/>
      <w:r>
        <w:t xml:space="preserve">5.4 Contrôle sur les indemnités IAT et IFTS</w:t>
      </w:r>
    </w:p>
    <w:p>
      <w:r>
        <w:t xml:space="preserve"> </w:t>
      </w:r>
      <w:r>
        <w:rPr>
          <w:i/>
        </w:rPr>
        <w:t xml:space="preserve">Tableau 59</w:t>
      </w:r>
    </w:p>
    <w:p>
      <w:r>
        <w:t xml:space="preserve">Tests IAT/IFTS sans résultat positif.</w:t>
      </w:r>
    </w:p>
    <w:p>
      <w:hyperlink r:id="rId105">
        <w:r>
          <w:rPr>
            <w:rStyle w:val="Link"/>
          </w:rPr>
          <w:t xml:space="preserve">Codes IFTS retenus</w:t>
        </w:r>
      </w:hyperlink>
      <w:r>
        <w:br w:type="textWrapping"/>
      </w:r>
      <w:hyperlink r:id="rId106">
        <w:r>
          <w:rPr>
            <w:rStyle w:val="Link"/>
          </w:rPr>
          <w:t xml:space="preserve">Lien vers la base de données cumuls iat/ifts</w:t>
        </w:r>
      </w:hyperlink>
    </w:p>
    <w:p>
      <w:pPr>
        <w:pStyle w:val="Heading3"/>
      </w:pPr>
      <w:bookmarkStart w:id="107" w:name="controle-sur-les-ifts-pour-categories-b-et-contractuels"/>
      <w:bookmarkEnd w:id="107"/>
      <w:r>
        <w:t xml:space="preserve">Contrôle sur les IFTS pour catégories B et contractuels</w:t>
      </w:r>
    </w:p>
    <w:p>
      <w:r>
        <w:t xml:space="preserve"> </w:t>
      </w:r>
      <w:r>
        <w:rPr>
          <w:i/>
        </w:rPr>
        <w:t xml:space="preserve">Tableau 60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paie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8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109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p>
      <w:pPr>
        <w:pStyle w:val="Heading2"/>
      </w:pPr>
      <w:bookmarkStart w:id="110" w:name="controle-de-la-prime-de-fonctions-et-de-resultats-pfr"/>
      <w:bookmarkEnd w:id="110"/>
      <w:r>
        <w:t xml:space="preserve">5.5 Contrôle de la prime de fonctions et de résultats (PFR)</w:t>
      </w:r>
    </w:p>
    <w:p>
      <w:r>
        <w:t xml:space="preserve"> </w:t>
      </w:r>
      <w:r>
        <w:rPr>
          <w:i/>
        </w:rPr>
        <w:t xml:space="preserve">Tableau 61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3040 304A 3049</w:t>
            </w:r>
          </w:p>
        </w:tc>
        <w:tc>
          <w:p>
            <w:pPr>
              <w:pStyle w:val="Compact"/>
              <w:jc w:val="center"/>
            </w:pPr>
            <w:r>
              <w:t xml:space="preserve">3046 3111 3112 325A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11">
        <w:r>
          <w:rPr>
            <w:rStyle w:val="Link"/>
          </w:rPr>
          <w:t xml:space="preserve">Lien vers la base de données cumuls pfr/ifts</w:t>
        </w:r>
      </w:hyperlink>
    </w:p>
    <w:p>
      <w:r>
        <w:t xml:space="preserve"> </w:t>
      </w:r>
      <w:r>
        <w:rPr>
          <w:i/>
        </w:rPr>
        <w:t xml:space="preserve">Tableau 62 : rappel des plafonds annuels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général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HC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Direct./Attaché princ.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Secr. mairie/Attaché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58 800</w:t>
            </w:r>
          </w:p>
        </w:tc>
        <w:tc>
          <w:p>
            <w:pPr>
              <w:pStyle w:val="Compact"/>
              <w:jc w:val="center"/>
            </w:pPr>
            <w:r>
              <w:t xml:space="preserve">55 200</w:t>
            </w:r>
          </w:p>
        </w:tc>
        <w:tc>
          <w:p>
            <w:pPr>
              <w:pStyle w:val="Compact"/>
              <w:jc w:val="center"/>
            </w:pPr>
            <w:r>
              <w:t xml:space="preserve">49 800</w:t>
            </w:r>
          </w:p>
        </w:tc>
        <w:tc>
          <w:p>
            <w:pPr>
              <w:pStyle w:val="Compact"/>
              <w:jc w:val="center"/>
            </w:pPr>
            <w:r>
              <w:t xml:space="preserve">25 800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</w:tr>
    </w:tbl>
    <w:p>
      <w:r>
        <w:t xml:space="preserve">Les plafonds annuels de la PFR de sont pas dépassés.</w:t>
      </w:r>
    </w:p>
    <w:p>
      <w:r>
        <w:t xml:space="preserve"> </w:t>
      </w:r>
      <w:r>
        <w:rPr>
          <w:i/>
        </w:rPr>
        <w:t xml:space="preserve">Tableau 63</w:t>
      </w:r>
      <w:r>
        <w:t xml:space="preserve"> </w:t>
      </w:r>
      <w:r>
        <w:t xml:space="preserve">: Valeurs de l'agrégat (PFR ou IFTS) pour les bénéficiaires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PFR ou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ALARY</w:t>
            </w:r>
          </w:p>
        </w:tc>
        <w:tc>
          <w:p>
            <w:pPr>
              <w:pStyle w:val="Compact"/>
              <w:jc w:val="right"/>
            </w:pPr>
            <w:r>
              <w:t xml:space="preserve">3184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1 867</w:t>
            </w:r>
          </w:p>
        </w:tc>
        <w:tc>
          <w:p>
            <w:pPr>
              <w:pStyle w:val="Compact"/>
              <w:jc w:val="right"/>
            </w:pPr>
            <w:r>
              <w:t xml:space="preserve">Technicien ppal 1ère Cl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ALARY</w:t>
            </w:r>
          </w:p>
        </w:tc>
        <w:tc>
          <w:p>
            <w:pPr>
              <w:pStyle w:val="Compact"/>
              <w:jc w:val="right"/>
            </w:pPr>
            <w:r>
              <w:t xml:space="preserve">3184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2 800</w:t>
            </w:r>
          </w:p>
        </w:tc>
        <w:tc>
          <w:p>
            <w:pPr>
              <w:pStyle w:val="Compact"/>
              <w:jc w:val="right"/>
            </w:pPr>
            <w:r>
              <w:t xml:space="preserve">Technicien ppal 1ère Cl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ALARY</w:t>
            </w:r>
          </w:p>
        </w:tc>
        <w:tc>
          <w:p>
            <w:pPr>
              <w:pStyle w:val="Compact"/>
              <w:jc w:val="right"/>
            </w:pPr>
            <w:r>
              <w:t xml:space="preserve">3184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1 400</w:t>
            </w:r>
          </w:p>
        </w:tc>
        <w:tc>
          <w:p>
            <w:pPr>
              <w:pStyle w:val="Compact"/>
              <w:jc w:val="right"/>
            </w:pPr>
            <w:r>
              <w:t xml:space="preserve">TECHNICIEN PPAL 1ERE CL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ARTIGUES</w:t>
            </w:r>
          </w:p>
        </w:tc>
        <w:tc>
          <w:p>
            <w:pPr>
              <w:pStyle w:val="Compact"/>
              <w:jc w:val="right"/>
            </w:pPr>
            <w:r>
              <w:t xml:space="preserve">0404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2 817</w:t>
            </w:r>
          </w:p>
        </w:tc>
        <w:tc>
          <w:p>
            <w:pPr>
              <w:pStyle w:val="Compact"/>
              <w:jc w:val="right"/>
            </w:pPr>
            <w:r>
              <w:t xml:space="preserve">Ingénieur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ARTIGUES</w:t>
            </w:r>
          </w:p>
        </w:tc>
        <w:tc>
          <w:p>
            <w:pPr>
              <w:pStyle w:val="Compact"/>
              <w:jc w:val="right"/>
            </w:pPr>
            <w:r>
              <w:t xml:space="preserve">0404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1 408</w:t>
            </w:r>
          </w:p>
        </w:tc>
        <w:tc>
          <w:p>
            <w:pPr>
              <w:pStyle w:val="Compact"/>
              <w:jc w:val="right"/>
            </w:pPr>
            <w:r>
              <w:t xml:space="preserve">INGENIEUR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BARBE</w:t>
            </w:r>
          </w:p>
        </w:tc>
        <w:tc>
          <w:p>
            <w:pPr>
              <w:pStyle w:val="Compact"/>
              <w:jc w:val="right"/>
            </w:pPr>
            <w:r>
              <w:t xml:space="preserve">08659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1 000</w:t>
            </w:r>
          </w:p>
        </w:tc>
        <w:tc>
          <w:p>
            <w:pPr>
              <w:pStyle w:val="Compact"/>
              <w:jc w:val="right"/>
            </w:pPr>
            <w:r>
              <w:t xml:space="preserve">ATTACHE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BENTZ</w:t>
            </w:r>
          </w:p>
        </w:tc>
        <w:tc>
          <w:p>
            <w:pPr>
              <w:pStyle w:val="Compact"/>
              <w:jc w:val="right"/>
            </w:pPr>
            <w:r>
              <w:t xml:space="preserve">0369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34 270</w:t>
            </w:r>
          </w:p>
        </w:tc>
        <w:tc>
          <w:p>
            <w:pPr>
              <w:pStyle w:val="Compact"/>
              <w:jc w:val="right"/>
            </w:pPr>
            <w:r>
              <w:t xml:space="preserve">ADMINISTRATEUR TER.HCL.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BENTZ</w:t>
            </w:r>
          </w:p>
        </w:tc>
        <w:tc>
          <w:p>
            <w:pPr>
              <w:pStyle w:val="Compact"/>
              <w:jc w:val="right"/>
            </w:pPr>
            <w:r>
              <w:t xml:space="preserve">0369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12 573</w:t>
            </w:r>
          </w:p>
        </w:tc>
        <w:tc>
          <w:p>
            <w:pPr>
              <w:pStyle w:val="Compact"/>
              <w:jc w:val="right"/>
            </w:pPr>
            <w:r>
              <w:t xml:space="preserve">Administrateur Ter.HCl.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CARALP</w:t>
            </w:r>
          </w:p>
        </w:tc>
        <w:tc>
          <w:p>
            <w:pPr>
              <w:pStyle w:val="Compact"/>
              <w:jc w:val="right"/>
            </w:pPr>
            <w:r>
              <w:t xml:space="preserve">0039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11 769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CARALP</w:t>
            </w:r>
          </w:p>
        </w:tc>
        <w:tc>
          <w:p>
            <w:pPr>
              <w:pStyle w:val="Compact"/>
              <w:jc w:val="right"/>
            </w:pPr>
            <w:r>
              <w:t xml:space="preserve">0039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13 585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CARALP</w:t>
            </w:r>
          </w:p>
        </w:tc>
        <w:tc>
          <w:p>
            <w:pPr>
              <w:pStyle w:val="Compact"/>
              <w:jc w:val="right"/>
            </w:pPr>
            <w:r>
              <w:t xml:space="preserve">0039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24 000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CASTILLO</w:t>
            </w:r>
          </w:p>
        </w:tc>
        <w:tc>
          <w:p>
            <w:pPr>
              <w:pStyle w:val="Compact"/>
              <w:jc w:val="right"/>
            </w:pPr>
            <w:r>
              <w:t xml:space="preserve">0051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2 869</w:t>
            </w:r>
          </w:p>
        </w:tc>
        <w:tc>
          <w:p>
            <w:pPr>
              <w:pStyle w:val="Compact"/>
              <w:jc w:val="right"/>
            </w:pPr>
            <w:r>
              <w:t xml:space="preserve">Ingénieur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CASTILLO</w:t>
            </w:r>
          </w:p>
        </w:tc>
        <w:tc>
          <w:p>
            <w:pPr>
              <w:pStyle w:val="Compact"/>
              <w:jc w:val="right"/>
            </w:pPr>
            <w:r>
              <w:t xml:space="preserve">0051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1 434</w:t>
            </w:r>
          </w:p>
        </w:tc>
        <w:tc>
          <w:p>
            <w:pPr>
              <w:pStyle w:val="Compact"/>
              <w:jc w:val="right"/>
            </w:pPr>
            <w:r>
              <w:t xml:space="preserve">INGENIEUR EN CHEF DE CN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CONDOU</w:t>
            </w:r>
          </w:p>
        </w:tc>
        <w:tc>
          <w:p>
            <w:pPr>
              <w:pStyle w:val="Compact"/>
              <w:jc w:val="right"/>
            </w:pPr>
            <w:r>
              <w:t xml:space="preserve">3002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966,8</w:t>
            </w:r>
          </w:p>
        </w:tc>
        <w:tc>
          <w:p>
            <w:pPr>
              <w:pStyle w:val="Compact"/>
              <w:jc w:val="right"/>
            </w:pPr>
            <w:r>
              <w:t xml:space="preserve">Technicien ppal 2ème cla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CONDOU</w:t>
            </w:r>
          </w:p>
        </w:tc>
        <w:tc>
          <w:p>
            <w:pPr>
              <w:pStyle w:val="Compact"/>
              <w:jc w:val="right"/>
            </w:pPr>
            <w:r>
              <w:t xml:space="preserve">3002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1 289</w:t>
            </w:r>
          </w:p>
        </w:tc>
        <w:tc>
          <w:p>
            <w:pPr>
              <w:pStyle w:val="Compact"/>
              <w:jc w:val="right"/>
            </w:pPr>
            <w:r>
              <w:t xml:space="preserve">Technicien ppal 2ème cla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CONDOU</w:t>
            </w:r>
          </w:p>
        </w:tc>
        <w:tc>
          <w:p>
            <w:pPr>
              <w:pStyle w:val="Compact"/>
              <w:jc w:val="right"/>
            </w:pPr>
            <w:r>
              <w:t xml:space="preserve">3002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644,5</w:t>
            </w:r>
          </w:p>
        </w:tc>
        <w:tc>
          <w:p>
            <w:pPr>
              <w:pStyle w:val="Compact"/>
              <w:jc w:val="right"/>
            </w:pPr>
            <w:r>
              <w:t xml:space="preserve">TECHNICIEN PRINCIP 2CL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 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1 061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 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2 417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 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14 500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D'IVRY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5 304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D'IVRY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5 307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ERNANDEZ</w:t>
            </w:r>
          </w:p>
        </w:tc>
        <w:tc>
          <w:p>
            <w:pPr>
              <w:pStyle w:val="Compact"/>
              <w:jc w:val="right"/>
            </w:pPr>
            <w:r>
              <w:t xml:space="preserve">0095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45 650</w:t>
            </w:r>
          </w:p>
        </w:tc>
        <w:tc>
          <w:p>
            <w:pPr>
              <w:pStyle w:val="Compact"/>
              <w:jc w:val="right"/>
            </w:pPr>
            <w:r>
              <w:t xml:space="preserve">DGA. 40-150 MILLES HAB.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ERNANDEZ</w:t>
            </w:r>
          </w:p>
        </w:tc>
        <w:tc>
          <w:p>
            <w:pPr>
              <w:pStyle w:val="Compact"/>
              <w:jc w:val="right"/>
            </w:pPr>
            <w:r>
              <w:t xml:space="preserve">0095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46 342</w:t>
            </w:r>
          </w:p>
        </w:tc>
        <w:tc>
          <w:p>
            <w:pPr>
              <w:pStyle w:val="Compact"/>
              <w:jc w:val="right"/>
            </w:pPr>
            <w:r>
              <w:t xml:space="preserve">DGA. 40-150 milles Hab.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FOURNIL</w:t>
            </w:r>
          </w:p>
        </w:tc>
        <w:tc>
          <w:p>
            <w:pPr>
              <w:pStyle w:val="Compact"/>
              <w:jc w:val="right"/>
            </w:pPr>
            <w:r>
              <w:t xml:space="preserve">4153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4 908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FOURNIL</w:t>
            </w:r>
          </w:p>
        </w:tc>
        <w:tc>
          <w:p>
            <w:pPr>
              <w:pStyle w:val="Compact"/>
              <w:jc w:val="right"/>
            </w:pPr>
            <w:r>
              <w:t xml:space="preserve">4153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5 776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FOURNIL</w:t>
            </w:r>
          </w:p>
        </w:tc>
        <w:tc>
          <w:p>
            <w:pPr>
              <w:pStyle w:val="Compact"/>
              <w:jc w:val="right"/>
            </w:pPr>
            <w:r>
              <w:t xml:space="preserve">4153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9 965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GARDEY</w:t>
            </w:r>
          </w:p>
        </w:tc>
        <w:tc>
          <w:p>
            <w:pPr>
              <w:pStyle w:val="Compact"/>
              <w:jc w:val="right"/>
            </w:pPr>
            <w:r>
              <w:t xml:space="preserve">05319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7 500</w:t>
            </w:r>
          </w:p>
        </w:tc>
        <w:tc>
          <w:p>
            <w:pPr>
              <w:pStyle w:val="Compact"/>
              <w:jc w:val="right"/>
            </w:pPr>
            <w:r>
              <w:t xml:space="preserve">ATTACHE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LABOURIE</w:t>
            </w:r>
          </w:p>
        </w:tc>
        <w:tc>
          <w:p>
            <w:pPr>
              <w:pStyle w:val="Compact"/>
              <w:jc w:val="right"/>
            </w:pPr>
            <w:r>
              <w:t xml:space="preserve">0579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583,3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LABOURIE</w:t>
            </w:r>
          </w:p>
        </w:tc>
        <w:tc>
          <w:p>
            <w:pPr>
              <w:pStyle w:val="Compact"/>
              <w:jc w:val="right"/>
            </w:pPr>
            <w:r>
              <w:t xml:space="preserve">0579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1 750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LACRAMPE</w:t>
            </w:r>
          </w:p>
        </w:tc>
        <w:tc>
          <w:p>
            <w:pPr>
              <w:pStyle w:val="Compact"/>
              <w:jc w:val="right"/>
            </w:pPr>
            <w:r>
              <w:t xml:space="preserve">0332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6 863</w:t>
            </w:r>
          </w:p>
        </w:tc>
        <w:tc>
          <w:p>
            <w:pPr>
              <w:pStyle w:val="Compact"/>
              <w:jc w:val="right"/>
            </w:pPr>
            <w:r>
              <w:t xml:space="preserve">EDUC.TER.PRINC 1CL APS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LACRAMPE</w:t>
            </w:r>
          </w:p>
        </w:tc>
        <w:tc>
          <w:p>
            <w:pPr>
              <w:pStyle w:val="Compact"/>
              <w:jc w:val="right"/>
            </w:pPr>
            <w:r>
              <w:t xml:space="preserve">0332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6 863</w:t>
            </w:r>
          </w:p>
        </w:tc>
        <w:tc>
          <w:p>
            <w:pPr>
              <w:pStyle w:val="Compact"/>
              <w:jc w:val="right"/>
            </w:pPr>
            <w:r>
              <w:t xml:space="preserve">Educ.Ter.Princ 1CL APS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LACRAMPE</w:t>
            </w:r>
          </w:p>
        </w:tc>
        <w:tc>
          <w:p>
            <w:pPr>
              <w:pStyle w:val="Compact"/>
              <w:jc w:val="right"/>
            </w:pPr>
            <w:r>
              <w:t xml:space="preserve">0332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6 875</w:t>
            </w:r>
          </w:p>
        </w:tc>
        <w:tc>
          <w:p>
            <w:pPr>
              <w:pStyle w:val="Compact"/>
              <w:jc w:val="right"/>
            </w:pPr>
            <w:r>
              <w:t xml:space="preserve">EDUC.TER.PRINC 1CL APS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MARTIN</w:t>
            </w:r>
          </w:p>
        </w:tc>
        <w:tc>
          <w:p>
            <w:pPr>
              <w:pStyle w:val="Compact"/>
              <w:jc w:val="right"/>
            </w:pPr>
            <w:r>
              <w:t xml:space="preserve">0155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8 630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MARTIN</w:t>
            </w:r>
          </w:p>
        </w:tc>
        <w:tc>
          <w:p>
            <w:pPr>
              <w:pStyle w:val="Compact"/>
              <w:jc w:val="right"/>
            </w:pPr>
            <w:r>
              <w:t xml:space="preserve">0155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9 735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MARTIN</w:t>
            </w:r>
          </w:p>
        </w:tc>
        <w:tc>
          <w:p>
            <w:pPr>
              <w:pStyle w:val="Compact"/>
              <w:jc w:val="right"/>
            </w:pPr>
            <w:r>
              <w:t xml:space="preserve">0155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18 000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MAYNADIER</w:t>
            </w:r>
          </w:p>
        </w:tc>
        <w:tc>
          <w:p>
            <w:pPr>
              <w:pStyle w:val="Compact"/>
              <w:jc w:val="right"/>
            </w:pPr>
            <w:r>
              <w:t xml:space="preserve">0201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1 422</w:t>
            </w:r>
          </w:p>
        </w:tc>
        <w:tc>
          <w:p>
            <w:pPr>
              <w:pStyle w:val="Compact"/>
              <w:jc w:val="right"/>
            </w:pPr>
            <w:r>
              <w:t xml:space="preserve">Ingénieur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MAYNADIER</w:t>
            </w:r>
          </w:p>
        </w:tc>
        <w:tc>
          <w:p>
            <w:pPr>
              <w:pStyle w:val="Compact"/>
              <w:jc w:val="right"/>
            </w:pPr>
            <w:r>
              <w:t xml:space="preserve">0201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711</w:t>
            </w:r>
          </w:p>
        </w:tc>
        <w:tc>
          <w:p>
            <w:pPr>
              <w:pStyle w:val="Compact"/>
              <w:jc w:val="right"/>
            </w:pPr>
            <w:r>
              <w:t xml:space="preserve">INGENIEUR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MENGELLE</w:t>
            </w:r>
          </w:p>
        </w:tc>
        <w:tc>
          <w:p>
            <w:pPr>
              <w:pStyle w:val="Compact"/>
              <w:jc w:val="right"/>
            </w:pPr>
            <w:r>
              <w:t xml:space="preserve">0569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6 865</w:t>
            </w:r>
          </w:p>
        </w:tc>
        <w:tc>
          <w:p>
            <w:pPr>
              <w:pStyle w:val="Compact"/>
              <w:jc w:val="right"/>
            </w:pPr>
            <w:r>
              <w:t xml:space="preserve">ASS.CONS.DE 1°CLASSE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MENGELLE</w:t>
            </w:r>
          </w:p>
        </w:tc>
        <w:tc>
          <w:p>
            <w:pPr>
              <w:pStyle w:val="Compact"/>
              <w:jc w:val="right"/>
            </w:pPr>
            <w:r>
              <w:t xml:space="preserve">0569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7 369</w:t>
            </w:r>
          </w:p>
        </w:tc>
        <w:tc>
          <w:p>
            <w:pPr>
              <w:pStyle w:val="Compact"/>
              <w:jc w:val="right"/>
            </w:pPr>
            <w:r>
              <w:t xml:space="preserve">Attaché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MENGELLE</w:t>
            </w:r>
          </w:p>
        </w:tc>
        <w:tc>
          <w:p>
            <w:pPr>
              <w:pStyle w:val="Compact"/>
              <w:jc w:val="right"/>
            </w:pPr>
            <w:r>
              <w:t xml:space="preserve">0569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11 800</w:t>
            </w:r>
          </w:p>
        </w:tc>
        <w:tc>
          <w:p>
            <w:pPr>
              <w:pStyle w:val="Compact"/>
              <w:jc w:val="right"/>
            </w:pPr>
            <w:r>
              <w:t xml:space="preserve">ATTACHE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PEYREGNE</w:t>
            </w:r>
          </w:p>
        </w:tc>
        <w:tc>
          <w:p>
            <w:pPr>
              <w:pStyle w:val="Compact"/>
              <w:jc w:val="right"/>
            </w:pPr>
            <w:r>
              <w:t xml:space="preserve">0183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985,9</w:t>
            </w:r>
          </w:p>
        </w:tc>
        <w:tc>
          <w:p>
            <w:pPr>
              <w:pStyle w:val="Compact"/>
              <w:jc w:val="right"/>
            </w:pPr>
            <w:r>
              <w:t xml:space="preserve">Technicien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PEYREGNE</w:t>
            </w:r>
          </w:p>
        </w:tc>
        <w:tc>
          <w:p>
            <w:pPr>
              <w:pStyle w:val="Compact"/>
              <w:jc w:val="right"/>
            </w:pPr>
            <w:r>
              <w:t xml:space="preserve">0183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TECHNICIEN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REY</w:t>
            </w:r>
          </w:p>
        </w:tc>
        <w:tc>
          <w:p>
            <w:pPr>
              <w:pStyle w:val="Compact"/>
              <w:jc w:val="right"/>
            </w:pPr>
            <w:r>
              <w:t xml:space="preserve">03148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13 250</w:t>
            </w:r>
          </w:p>
        </w:tc>
        <w:tc>
          <w:p>
            <w:pPr>
              <w:pStyle w:val="Compact"/>
              <w:jc w:val="right"/>
            </w:pPr>
            <w:r>
              <w:t xml:space="preserve">CONTRACTUEL CDD (CAT.A)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ROUSSEL-DEVAUX</w:t>
            </w:r>
          </w:p>
        </w:tc>
        <w:tc>
          <w:p>
            <w:pPr>
              <w:pStyle w:val="Compact"/>
              <w:jc w:val="right"/>
            </w:pPr>
            <w:r>
              <w:t xml:space="preserve">0582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24 900</w:t>
            </w:r>
          </w:p>
        </w:tc>
        <w:tc>
          <w:p>
            <w:pPr>
              <w:pStyle w:val="Compact"/>
              <w:jc w:val="right"/>
            </w:pPr>
            <w:r>
              <w:t xml:space="preserve">Administrateur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ROUSSEL-DEVAUX</w:t>
            </w:r>
          </w:p>
        </w:tc>
        <w:tc>
          <w:p>
            <w:pPr>
              <w:pStyle w:val="Compact"/>
              <w:jc w:val="right"/>
            </w:pPr>
            <w:r>
              <w:t xml:space="preserve">0582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41 500</w:t>
            </w:r>
          </w:p>
        </w:tc>
        <w:tc>
          <w:p>
            <w:pPr>
              <w:pStyle w:val="Compact"/>
              <w:jc w:val="right"/>
            </w:pPr>
            <w:r>
              <w:t xml:space="preserve">D.G.S. 40 a 80.000 hab.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ROUSSEL-DEVAUX</w:t>
            </w:r>
          </w:p>
        </w:tc>
        <w:tc>
          <w:p>
            <w:pPr>
              <w:pStyle w:val="Compact"/>
              <w:jc w:val="right"/>
            </w:pPr>
            <w:r>
              <w:t xml:space="preserve">0582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49 800</w:t>
            </w:r>
          </w:p>
        </w:tc>
        <w:tc>
          <w:p>
            <w:pPr>
              <w:pStyle w:val="Compact"/>
              <w:jc w:val="right"/>
            </w:pPr>
            <w:r>
              <w:t xml:space="preserve">D.G.S. 40 A 80.000 HAB.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SOMMACAL</w:t>
            </w:r>
          </w:p>
        </w:tc>
        <w:tc>
          <w:p>
            <w:pPr>
              <w:pStyle w:val="Compact"/>
              <w:jc w:val="right"/>
            </w:pPr>
            <w:r>
              <w:t xml:space="preserve">0313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11 769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SOMMACAL</w:t>
            </w:r>
          </w:p>
        </w:tc>
        <w:tc>
          <w:p>
            <w:pPr>
              <w:pStyle w:val="Compact"/>
              <w:jc w:val="right"/>
            </w:pPr>
            <w:r>
              <w:t xml:space="preserve">0313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13 585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SOMMACAL</w:t>
            </w:r>
          </w:p>
        </w:tc>
        <w:tc>
          <w:p>
            <w:pPr>
              <w:pStyle w:val="Compact"/>
              <w:jc w:val="right"/>
            </w:pPr>
            <w:r>
              <w:t xml:space="preserve">0313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23 100</w:t>
            </w:r>
          </w:p>
        </w:tc>
        <w:tc>
          <w:p>
            <w:pPr>
              <w:pStyle w:val="Compact"/>
              <w:jc w:val="right"/>
            </w:pPr>
            <w:r>
              <w:t xml:space="preserve">DIRECTEUR TERRITORIAL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VABRE</w:t>
            </w:r>
          </w:p>
        </w:tc>
        <w:tc>
          <w:p>
            <w:pPr>
              <w:pStyle w:val="Compact"/>
              <w:jc w:val="right"/>
            </w:pPr>
            <w:r>
              <w:t xml:space="preserve">0330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7 119</w:t>
            </w:r>
          </w:p>
        </w:tc>
        <w:tc>
          <w:p>
            <w:pPr>
              <w:pStyle w:val="Compact"/>
              <w:jc w:val="right"/>
            </w:pPr>
            <w:r>
              <w:t xml:space="preserve">ATTACHE TER.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VABRE</w:t>
            </w:r>
          </w:p>
        </w:tc>
        <w:tc>
          <w:p>
            <w:pPr>
              <w:pStyle w:val="Compact"/>
              <w:jc w:val="right"/>
            </w:pPr>
            <w:r>
              <w:t xml:space="preserve">0330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7 040</w:t>
            </w:r>
          </w:p>
        </w:tc>
        <w:tc>
          <w:p>
            <w:pPr>
              <w:pStyle w:val="Compact"/>
              <w:jc w:val="right"/>
            </w:pPr>
            <w:r>
              <w:t xml:space="preserve">Attaché Ter. Principal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VABRE</w:t>
            </w:r>
          </w:p>
        </w:tc>
        <w:tc>
          <w:p>
            <w:pPr>
              <w:pStyle w:val="Compact"/>
              <w:jc w:val="right"/>
            </w:pPr>
            <w:r>
              <w:t xml:space="preserve">0330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10 440</w:t>
            </w:r>
          </w:p>
        </w:tc>
        <w:tc>
          <w:p>
            <w:pPr>
              <w:pStyle w:val="Compact"/>
              <w:jc w:val="right"/>
            </w:pPr>
            <w:r>
              <w:t xml:space="preserve">ATTACHE TER. PRINCIPAL</w:t>
            </w:r>
          </w:p>
        </w:tc>
      </w:tr>
    </w:tbl>
    <w:p>
      <w:r>
        <w:t xml:space="preserve"> </w:t>
      </w:r>
      <w:r>
        <w:rPr>
          <w:i/>
        </w:rPr>
        <w:t xml:space="preserve">Tableau 64</w:t>
      </w:r>
      <w:r>
        <w:t xml:space="preserve"> </w:t>
      </w:r>
      <w:r>
        <w:t xml:space="preserve">: Variations de l'agrégat (PFR ou IFTS) pour les bénéficiaires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géométrique annuelle(%)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ALARY</w:t>
            </w:r>
          </w:p>
        </w:tc>
        <w:tc>
          <w:p>
            <w:pPr>
              <w:pStyle w:val="Compact"/>
              <w:jc w:val="right"/>
            </w:pPr>
            <w:r>
              <w:t xml:space="preserve">3184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-25,0</w:t>
            </w:r>
          </w:p>
        </w:tc>
        <w:tc>
          <w:p>
            <w:pPr>
              <w:pStyle w:val="Compact"/>
              <w:jc w:val="right"/>
            </w:pPr>
            <w:r>
              <w:t xml:space="preserve">-13,4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ARTIGUES</w:t>
            </w:r>
          </w:p>
        </w:tc>
        <w:tc>
          <w:p>
            <w:pPr>
              <w:pStyle w:val="Compact"/>
              <w:jc w:val="right"/>
            </w:pPr>
            <w:r>
              <w:t xml:space="preserve">0404</w:t>
            </w:r>
          </w:p>
        </w:tc>
        <w:tc>
          <w:p>
            <w:pPr>
              <w:pStyle w:val="Compact"/>
              <w:jc w:val="right"/>
            </w:pPr>
            <w:r>
              <w:t xml:space="preserve">2013, 2014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BENTZ</w:t>
            </w:r>
          </w:p>
        </w:tc>
        <w:tc>
          <w:p>
            <w:pPr>
              <w:pStyle w:val="Compact"/>
              <w:jc w:val="right"/>
            </w:pPr>
            <w:r>
              <w:t xml:space="preserve">0369</w:t>
            </w:r>
          </w:p>
        </w:tc>
        <w:tc>
          <w:p>
            <w:pPr>
              <w:pStyle w:val="Compact"/>
              <w:jc w:val="right"/>
            </w:pPr>
            <w:r>
              <w:t xml:space="preserve">2012, 2013</w:t>
            </w:r>
          </w:p>
        </w:tc>
        <w:tc>
          <w:p>
            <w:pPr>
              <w:pStyle w:val="Compact"/>
              <w:jc w:val="right"/>
            </w:pPr>
            <w:r>
              <w:t xml:space="preserve">-63,3</w:t>
            </w:r>
          </w:p>
        </w:tc>
        <w:tc>
          <w:p>
            <w:pPr>
              <w:pStyle w:val="Compact"/>
              <w:jc w:val="right"/>
            </w:pPr>
            <w:r>
              <w:t xml:space="preserve">-63,3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CARALP</w:t>
            </w:r>
          </w:p>
        </w:tc>
        <w:tc>
          <w:p>
            <w:pPr>
              <w:pStyle w:val="Compact"/>
              <w:jc w:val="right"/>
            </w:pPr>
            <w:r>
              <w:t xml:space="preserve">0039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103,9</w:t>
            </w:r>
          </w:p>
        </w:tc>
        <w:tc>
          <w:p>
            <w:pPr>
              <w:pStyle w:val="Compact"/>
              <w:jc w:val="right"/>
            </w:pPr>
            <w:r>
              <w:t xml:space="preserve">42,8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CASTILLO</w:t>
            </w:r>
          </w:p>
        </w:tc>
        <w:tc>
          <w:p>
            <w:pPr>
              <w:pStyle w:val="Compact"/>
              <w:jc w:val="right"/>
            </w:pPr>
            <w:r>
              <w:t xml:space="preserve">0051</w:t>
            </w:r>
          </w:p>
        </w:tc>
        <w:tc>
          <w:p>
            <w:pPr>
              <w:pStyle w:val="Compact"/>
              <w:jc w:val="right"/>
            </w:pPr>
            <w:r>
              <w:t xml:space="preserve">2013, 2014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CONDOU</w:t>
            </w:r>
          </w:p>
        </w:tc>
        <w:tc>
          <w:p>
            <w:pPr>
              <w:pStyle w:val="Compact"/>
              <w:jc w:val="right"/>
            </w:pPr>
            <w:r>
              <w:t xml:space="preserve">3002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-33,3</w:t>
            </w:r>
          </w:p>
        </w:tc>
        <w:tc>
          <w:p>
            <w:pPr>
              <w:pStyle w:val="Compact"/>
              <w:jc w:val="right"/>
            </w:pPr>
            <w:r>
              <w:t xml:space="preserve">-18,4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 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1267,0</w:t>
            </w:r>
          </w:p>
        </w:tc>
        <w:tc>
          <w:p>
            <w:pPr>
              <w:pStyle w:val="Compact"/>
              <w:jc w:val="right"/>
            </w:pPr>
            <w:r>
              <w:t xml:space="preserve">269,7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D'IVRY</w:t>
            </w:r>
          </w:p>
        </w:tc>
        <w:tc>
          <w:p>
            <w:pPr>
              <w:pStyle w:val="Compact"/>
              <w:jc w:val="right"/>
            </w:pPr>
            <w:r>
              <w:t xml:space="preserve">0514</w:t>
            </w:r>
          </w:p>
        </w:tc>
        <w:tc>
          <w:p>
            <w:pPr>
              <w:pStyle w:val="Compact"/>
              <w:jc w:val="right"/>
            </w:pPr>
            <w:r>
              <w:t xml:space="preserve">2012, 2013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ERNANDEZ</w:t>
            </w:r>
          </w:p>
        </w:tc>
        <w:tc>
          <w:p>
            <w:pPr>
              <w:pStyle w:val="Compact"/>
              <w:jc w:val="right"/>
            </w:pPr>
            <w:r>
              <w:t xml:space="preserve">0095</w:t>
            </w:r>
          </w:p>
        </w:tc>
        <w:tc>
          <w:p>
            <w:pPr>
              <w:pStyle w:val="Compact"/>
              <w:jc w:val="right"/>
            </w:pPr>
            <w:r>
              <w:t xml:space="preserve">2012, 2013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FOURNIL</w:t>
            </w:r>
          </w:p>
        </w:tc>
        <w:tc>
          <w:p>
            <w:pPr>
              <w:pStyle w:val="Compact"/>
              <w:jc w:val="right"/>
            </w:pPr>
            <w:r>
              <w:t xml:space="preserve">4153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103,0</w:t>
            </w:r>
          </w:p>
        </w:tc>
        <w:tc>
          <w:p>
            <w:pPr>
              <w:pStyle w:val="Compact"/>
              <w:jc w:val="right"/>
            </w:pPr>
            <w:r>
              <w:t xml:space="preserve">42,5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LABOURIE</w:t>
            </w:r>
          </w:p>
        </w:tc>
        <w:tc>
          <w:p>
            <w:pPr>
              <w:pStyle w:val="Compact"/>
              <w:jc w:val="right"/>
            </w:pPr>
            <w:r>
              <w:t xml:space="preserve">0579</w:t>
            </w:r>
          </w:p>
        </w:tc>
        <w:tc>
          <w:p>
            <w:pPr>
              <w:pStyle w:val="Compact"/>
              <w:jc w:val="right"/>
            </w:pPr>
            <w:r>
              <w:t xml:space="preserve">2013, 2014</w:t>
            </w:r>
          </w:p>
        </w:tc>
        <w:tc>
          <w:p>
            <w:pPr>
              <w:pStyle w:val="Compact"/>
              <w:jc w:val="right"/>
            </w:pPr>
            <w:r>
              <w:t xml:space="preserve">200,0</w:t>
            </w:r>
          </w:p>
        </w:tc>
        <w:tc>
          <w:p>
            <w:pPr>
              <w:pStyle w:val="Compact"/>
              <w:jc w:val="right"/>
            </w:pPr>
            <w:r>
              <w:t xml:space="preserve">200,0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LACRAMPE</w:t>
            </w:r>
          </w:p>
        </w:tc>
        <w:tc>
          <w:p>
            <w:pPr>
              <w:pStyle w:val="Compact"/>
              <w:jc w:val="right"/>
            </w:pPr>
            <w:r>
              <w:t xml:space="preserve">0332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MARTIN</w:t>
            </w:r>
          </w:p>
        </w:tc>
        <w:tc>
          <w:p>
            <w:pPr>
              <w:pStyle w:val="Compact"/>
              <w:jc w:val="right"/>
            </w:pPr>
            <w:r>
              <w:t xml:space="preserve">0155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108,6</w:t>
            </w:r>
          </w:p>
        </w:tc>
        <w:tc>
          <w:p>
            <w:pPr>
              <w:pStyle w:val="Compact"/>
              <w:jc w:val="right"/>
            </w:pPr>
            <w:r>
              <w:t xml:space="preserve">44,4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MAYNADIER</w:t>
            </w:r>
          </w:p>
        </w:tc>
        <w:tc>
          <w:p>
            <w:pPr>
              <w:pStyle w:val="Compact"/>
              <w:jc w:val="right"/>
            </w:pPr>
            <w:r>
              <w:t xml:space="preserve">0201</w:t>
            </w:r>
          </w:p>
        </w:tc>
        <w:tc>
          <w:p>
            <w:pPr>
              <w:pStyle w:val="Compact"/>
              <w:jc w:val="right"/>
            </w:pPr>
            <w:r>
              <w:t xml:space="preserve">2013, 2014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MENGELLE</w:t>
            </w:r>
          </w:p>
        </w:tc>
        <w:tc>
          <w:p>
            <w:pPr>
              <w:pStyle w:val="Compact"/>
              <w:jc w:val="right"/>
            </w:pPr>
            <w:r>
              <w:t xml:space="preserve">0569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71,9</w:t>
            </w:r>
          </w:p>
        </w:tc>
        <w:tc>
          <w:p>
            <w:pPr>
              <w:pStyle w:val="Compact"/>
              <w:jc w:val="right"/>
            </w:pPr>
            <w:r>
              <w:t xml:space="preserve">31,1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PEYREGNE</w:t>
            </w:r>
          </w:p>
        </w:tc>
        <w:tc>
          <w:p>
            <w:pPr>
              <w:pStyle w:val="Compact"/>
              <w:jc w:val="right"/>
            </w:pPr>
            <w:r>
              <w:t xml:space="preserve">0183</w:t>
            </w:r>
          </w:p>
        </w:tc>
        <w:tc>
          <w:p>
            <w:pPr>
              <w:pStyle w:val="Compact"/>
              <w:jc w:val="right"/>
            </w:pPr>
            <w:r>
              <w:t xml:space="preserve">2013, 2014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  <w:tc>
          <w:p>
            <w:pPr>
              <w:pStyle w:val="Compact"/>
              <w:jc w:val="right"/>
            </w:pPr>
            <w:r>
              <w:t xml:space="preserve">-50,0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ROUSSEL-DEVAUX</w:t>
            </w:r>
          </w:p>
        </w:tc>
        <w:tc>
          <w:p>
            <w:pPr>
              <w:pStyle w:val="Compact"/>
              <w:jc w:val="right"/>
            </w:pPr>
            <w:r>
              <w:t xml:space="preserve">0582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100,0</w:t>
            </w:r>
          </w:p>
        </w:tc>
        <w:tc>
          <w:p>
            <w:pPr>
              <w:pStyle w:val="Compact"/>
              <w:jc w:val="right"/>
            </w:pPr>
            <w:r>
              <w:t xml:space="preserve">41,4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SOMMACAL</w:t>
            </w:r>
          </w:p>
        </w:tc>
        <w:tc>
          <w:p>
            <w:pPr>
              <w:pStyle w:val="Compact"/>
              <w:jc w:val="right"/>
            </w:pPr>
            <w:r>
              <w:t xml:space="preserve">0313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96,3</w:t>
            </w:r>
          </w:p>
        </w:tc>
        <w:tc>
          <w:p>
            <w:pPr>
              <w:pStyle w:val="Compact"/>
              <w:jc w:val="right"/>
            </w:pPr>
            <w:r>
              <w:t xml:space="preserve">40,1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VABRE</w:t>
            </w:r>
          </w:p>
        </w:tc>
        <w:tc>
          <w:p>
            <w:pPr>
              <w:pStyle w:val="Compact"/>
              <w:jc w:val="right"/>
            </w:pPr>
            <w:r>
              <w:t xml:space="preserve">0330</w:t>
            </w:r>
          </w:p>
        </w:tc>
        <w:tc>
          <w:p>
            <w:pPr>
              <w:pStyle w:val="Compact"/>
              <w:jc w:val="right"/>
            </w:pPr>
            <w:r>
              <w:t xml:space="preserve">2012, 2013, 2014</w:t>
            </w:r>
          </w:p>
        </w:tc>
        <w:tc>
          <w:p>
            <w:pPr>
              <w:pStyle w:val="Compact"/>
              <w:jc w:val="right"/>
            </w:pPr>
            <w:r>
              <w:t xml:space="preserve">46,6</w:t>
            </w:r>
          </w:p>
        </w:tc>
        <w:tc>
          <w:p>
            <w:pPr>
              <w:pStyle w:val="Compact"/>
              <w:jc w:val="right"/>
            </w:pPr>
            <w:r>
              <w:t xml:space="preserve">21,1</w:t>
            </w:r>
          </w:p>
        </w:tc>
      </w:tr>
    </w:tbl>
    <w:p>
      <w:hyperlink r:id="rId112">
        <w:r>
          <w:rPr>
            <w:rStyle w:val="Link"/>
          </w:rPr>
          <w:t xml:space="preserve">Lien vers la base de données agrégat PFR-IFTS</w:t>
        </w:r>
      </w:hyperlink>
    </w:p>
    <w:p>
      <w:hyperlink r:id="rId113">
        <w:r>
          <w:rPr>
            <w:rStyle w:val="Link"/>
          </w:rPr>
          <w:t xml:space="preserve">Lien vers la base de données variations agrégat PFR-IFTS</w:t>
        </w:r>
      </w:hyperlink>
    </w:p>
    <w:p>
      <w:pPr>
        <w:pStyle w:val="Heading2"/>
      </w:pPr>
      <w:bookmarkStart w:id="114" w:name="controle-sur-les-heures-supplementaires"/>
      <w:bookmarkEnd w:id="114"/>
      <w:r>
        <w:t xml:space="preserve">5.6 Contrôle sur les heures supplémentaires</w:t>
      </w:r>
    </w:p>
    <w:p>
      <w:r>
        <w:t xml:space="preserve">Le seuil de 180 heures supplémentaires maximum est dépassé par 6 agents. Le seuil de 220 heures supplémentaires maximum est dépassé par 6 agents.</w:t>
      </w:r>
    </w:p>
    <w:p>
      <w:r>
        <w:t xml:space="preserve"> </w:t>
      </w:r>
      <w:r>
        <w:rPr>
          <w:i/>
        </w:rPr>
        <w:t xml:space="preserve">Tableau 65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15">
        <w:r>
          <w:rPr>
            <w:rStyle w:val="Link"/>
          </w:rPr>
          <w:t xml:space="preserve">Lien vers la base de données Heures supplémentaires en excès du seuil de 25h/mois: matricules</w:t>
        </w:r>
      </w:hyperlink>
      <w:r>
        <w:br w:type="textWrapping"/>
      </w:r>
      <w:hyperlink r:id="rId116">
        <w:r>
          <w:rPr>
            <w:rStyle w:val="Link"/>
          </w:rPr>
          <w:t xml:space="preserve">Lien vers la base de données cumuls en excès des seuils annuels</w:t>
        </w:r>
      </w:hyperlink>
      <w:r>
        <w:br w:type="textWrapping"/>
      </w:r>
      <w:hyperlink r:id="rId117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HS en excès : au-delà de 25 heures par mois IHTS anormales : non attribuées à des fonctionnaires de catégorie B ou C.</w:t>
      </w:r>
    </w:p>
    <w:p>
      <w:pPr>
        <w:pStyle w:val="Heading2"/>
      </w:pPr>
      <w:bookmarkStart w:id="118" w:name="controle-sur-les-indemnites-des-elus"/>
      <w:bookmarkEnd w:id="118"/>
      <w:r>
        <w:t xml:space="preserve">5.7 Contrôle sur les indemnités des élus</w:t>
      </w:r>
    </w:p>
    <w:p>
      <w:r>
        <w:t xml:space="preserve">Tableau des indemnités d'élu : pas de données.</w:t>
      </w:r>
    </w:p>
    <w:p>
      <w:hyperlink r:id="rId119">
        <w:r>
          <w:rPr>
            <w:rStyle w:val="Link"/>
          </w:rPr>
          <w:t xml:space="preserve">Lien vers la base de données Rémunérations des élus</w:t>
        </w:r>
      </w:hyperlink>
    </w:p>
    <w:p>
      <w:pPr>
        <w:pStyle w:val="Heading2"/>
      </w:pPr>
      <w:bookmarkStart w:id="120" w:name="lien-avec-le-compte-de-gestion"/>
      <w:bookmarkEnd w:id="120"/>
      <w:r>
        <w:t xml:space="preserve">5.8 Lien avec le compte de gestion</w:t>
      </w:r>
    </w:p>
    <w:p>
      <w:r>
        <w:t xml:space="preserve">Cumul des lignes de paie par exercice et catégorie de ligne de paie</w:t>
      </w:r>
    </w:p>
    <w:p>
      <w:r>
        <w:t xml:space="preserve">Tableau 66 Année 2012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787 204,93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31 174,49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51 893,21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6 099 715,82</w:t>
            </w:r>
          </w:p>
        </w:tc>
      </w:tr>
    </w:tbl>
    <w:p>
      <w:r>
        <w:t xml:space="preserve">Tableau 67 Année 2013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916 358,60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25 864,32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5 388,68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61 098,55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6 483 796,03</w:t>
            </w:r>
          </w:p>
        </w:tc>
      </w:tr>
    </w:tbl>
    <w:p>
      <w:r>
        <w:t xml:space="preserve">Tableau 68 Année 2014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1 128 582,07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44 237,73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121 494,44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69 757,72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6 342 804,12</w:t>
            </w:r>
          </w:p>
        </w:tc>
      </w:tr>
    </w:tbl>
    <w:p>
      <w:hyperlink r:id="rId121">
        <w:r>
          <w:rPr>
            <w:rStyle w:val="Link"/>
          </w:rPr>
          <w:t xml:space="preserve">Lien vers la base détaillée des cumuls des lignes de paie</w:t>
        </w:r>
      </w:hyperlink>
    </w:p>
    <w:p>
      <w:hyperlink r:id="rId122">
        <w:r>
          <w:rPr>
            <w:rStyle w:val="Link"/>
          </w:rPr>
          <w:t xml:space="preserve">Lien vers la base agrégée des cumuls des lignes de paie</w:t>
        </w:r>
      </w:hyperlink>
    </w:p>
    <w:p>
      <w:r>
        <w:rPr>
          <w:i/>
        </w:rPr>
        <w:t xml:space="preserve">Avertissement : les rappels comprennent également les rappels de cotisations et déductions diverses.</w:t>
      </w:r>
    </w:p>
    <w:p>
      <w:pPr>
        <w:pStyle w:val="Heading2"/>
      </w:pPr>
      <w:bookmarkStart w:id="123" w:name="controle-du-supplement-familial-de-traitement"/>
      <w:bookmarkEnd w:id="123"/>
      <w:r>
        <w:t xml:space="preserve">5.9 Contrôle du supplément familial de traitement</w:t>
      </w:r>
    </w:p>
    <w:p>
      <w:r>
        <w:t xml:space="preserve">La durée du travail prise en compte dans la base de données est de 303 h par mois.</w:t>
      </w:r>
    </w:p>
    <w:p>
      <w:r>
        <w:t xml:space="preserve">Attention ! Le temps de travail hebdomadaire s'écarte significativement de la durée légale : 69,9 h par semaine.</w:t>
      </w:r>
    </w:p>
    <w:p>
      <w:r>
        <w:t xml:space="preserve">Pour les agents n'ayant pas d'enfant signalé en base, il a été détecté 3 bulletins de paie présentant un paiement du SFT apparemment anormal.</w:t>
      </w:r>
    </w:p>
    <w:p>
      <w:hyperlink r:id="rId124">
        <w:r>
          <w:rPr>
            <w:rStyle w:val="Link"/>
          </w:rPr>
          <w:t xml:space="preserve">Lien vers la base des paiements de SFT à agents sans enfant signalé</w:t>
        </w:r>
      </w:hyperlink>
    </w:p>
    <w:p>
      <w:r>
        <w:t xml:space="preserve">Pour les agents ayant au moins un enfant, il n'a été détecté aucun écart de paiement sur SFT supérieur à 1 euro.</w:t>
      </w:r>
    </w:p>
    <w:p>
      <w:hyperlink r:id="rId125">
        <w:r>
          <w:rPr>
            <w:rStyle w:val="Link"/>
          </w:rPr>
          <w:t xml:space="preserve">Lien vers la base des écarts de paiement sur SFT</w:t>
        </w:r>
      </w:hyperlink>
    </w:p>
    <w:p>
      <w:pPr>
        <w:pStyle w:val="Heading1"/>
      </w:pPr>
      <w:bookmarkStart w:id="126" w:name="annexe"/>
      <w:bookmarkEnd w:id="126"/>
      <w:r>
        <w:t xml:space="preserve">Annexe</w:t>
      </w:r>
    </w:p>
    <w:p>
      <w:pPr>
        <w:pStyle w:val="Heading2"/>
      </w:pPr>
      <w:bookmarkStart w:id="127" w:name="liens-complementaires"/>
      <w:bookmarkEnd w:id="127"/>
      <w:r>
        <w:t xml:space="preserve">Liens complémentaires</w:t>
      </w:r>
    </w:p>
    <w:p>
      <w:hyperlink r:id="rId128">
        <w:r>
          <w:rPr>
            <w:rStyle w:val="Link"/>
          </w:rPr>
          <w:t xml:space="preserve">Lien vers le fichier des personnels</w:t>
        </w:r>
      </w:hyperlink>
    </w:p>
    <w:p>
      <w:pPr>
        <w:pStyle w:val="Heading2"/>
      </w:pPr>
      <w:bookmarkStart w:id="129" w:name="fiabilite-du-traitement-statistique"/>
      <w:bookmarkEnd w:id="129"/>
      <w:r>
        <w:t xml:space="preserve">Fiabilité du traitement statistique</w:t>
      </w:r>
    </w:p>
    <w:p>
      <w:pPr>
        <w:pStyle w:val="Heading3"/>
      </w:pPr>
      <w:bookmarkStart w:id="130" w:name="eliminations-des-doublons"/>
      <w:bookmarkEnd w:id="130"/>
      <w:r>
        <w:t xml:space="preserve">Eliminations des doublons</w:t>
      </w:r>
    </w:p>
    <w:p>
      <w:r>
        <w:t xml:space="preserve">Attention : Altaïr a détecté des lignes dupliquées alors qu'aucun retraitement des lignes dupliquées n'est prévu par défaut.</w:t>
      </w:r>
    </w:p>
    <w:p>
      <w:r>
        <w:rPr>
          <w:i/>
        </w:rPr>
        <w:t xml:space="preserve">Tests de fiabilité sur le renseignement des heures et des quotités</w:t>
      </w:r>
    </w:p>
    <w:p>
      <w:r>
        <w:t xml:space="preserve">Pourcentage d'heures renseignées : 95 %</w:t>
      </w:r>
    </w:p>
    <w:p>
      <w:r>
        <w:t xml:space="preserve">Pourcentage de quotités renseignées : 100 %</w:t>
      </w:r>
    </w:p>
    <w:p>
      <w:r>
        <w:t xml:space="preserve">Nombre de bulletins à heures et quotités : 10815 [ 95 %]</w:t>
      </w:r>
    </w:p>
    <w:p>
      <w:r>
        <w:t xml:space="preserve">Nombre de bulletins à heures sans quotités : 2 [ 0 %]</w:t>
      </w:r>
    </w:p>
    <w:p>
      <w:r>
        <w:t xml:space="preserve">Nombre de bulletins à quotités sans heures : 573 [ 5 %]</w:t>
      </w:r>
    </w:p>
    <w:p>
      <w:r>
        <w:t xml:space="preserve">Nombre de bulletins apparemment inactifs : 0 [ 0 %]</w:t>
      </w:r>
    </w:p>
    <w:p>
      <w:r>
        <w:t xml:space="preserve">Nombre de bulletins non renseignés : 0 [ 0 %]</w:t>
      </w:r>
    </w:p>
    <w:p>
      <w:r>
        <w:t xml:space="preserve">Nombre de bulletins de paie de salaires (net ou brut) versés pour un champ Heures = 0 : 573</w:t>
      </w:r>
    </w:p>
    <w:p>
      <w:hyperlink r:id="rId13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32">
        <w:r>
          <w:rPr>
            <w:rStyle w:val="Link"/>
          </w:rPr>
          <w:t xml:space="preserve">Lien vers la base de données des salaires versés à quotité indéfinie</w:t>
        </w:r>
      </w:hyperlink>
    </w:p>
    <w:p>
      <w:pPr>
        <w:pStyle w:val="Heading1"/>
      </w:pPr>
      <w:bookmarkStart w:id="133" w:name="tableau-des-personnels-renseigner-la-categorie"/>
      <w:bookmarkEnd w:id="133"/>
      <w:r>
        <w:t xml:space="preserve">Tableau des personnels : renseigner la catégorie</w:t>
      </w:r>
    </w:p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  <w:p>
      <w:r>
        <w:t xml:space="preserve">Non généré [anonymisation]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1d6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8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5" Target="Bases/Fiabilit&#233;/cumuls.nbi.csv" TargetMode="External" /><Relationship Type="http://schemas.openxmlformats.org/officeDocument/2006/relationships/hyperlink" Id="rId94" Target="Bases/Fiabilit&#233;/lignes.nbi.anormales.csv" TargetMode="External" /><Relationship Type="http://schemas.openxmlformats.org/officeDocument/2006/relationships/hyperlink" Id="rId116" Target="Bases/R&#233;glementation/D&#233;passement.seuil.180h.csv" TargetMode="External" /><Relationship Type="http://schemas.openxmlformats.org/officeDocument/2006/relationships/hyperlink" Id="rId115" Target="Bases/R&#233;glementation/HS.sup.25.csv" TargetMode="External" /><Relationship Type="http://schemas.openxmlformats.org/officeDocument/2006/relationships/hyperlink" Id="rId92" Target="Bases/R&#233;glementation/NBI.aux.non.titulaires.csv" TargetMode="External" /><Relationship Type="http://schemas.openxmlformats.org/officeDocument/2006/relationships/hyperlink" Id="rId124" Target="Bases/R&#233;glementation/Paie.sans.enfant.r&#233;duit.csv" TargetMode="External" /><Relationship Type="http://schemas.openxmlformats.org/officeDocument/2006/relationships/hyperlink" Id="rId102" Target="Bases/R&#233;glementation/RI.et.vacations.csv" TargetMode="External" /><Relationship Type="http://schemas.openxmlformats.org/officeDocument/2006/relationships/hyperlink" Id="rId105" Target="Bases/R&#233;glementation/codes.ifts.csv" TargetMode="External" /><Relationship Type="http://schemas.openxmlformats.org/officeDocument/2006/relationships/hyperlink" Id="rId125" Target="Bases/R&#233;glementation/controle.sft.csv" TargetMode="External" /><Relationship Type="http://schemas.openxmlformats.org/officeDocument/2006/relationships/hyperlink" Id="rId121" Target="Bases/R&#233;glementation/cumul.lignes.paie.csv" TargetMode="External" /><Relationship Type="http://schemas.openxmlformats.org/officeDocument/2006/relationships/hyperlink" Id="rId122" Target="Bases/R&#233;glementation/cumul.total.lignes.paie.csv" TargetMode="External" /><Relationship Type="http://schemas.openxmlformats.org/officeDocument/2006/relationships/hyperlink" Id="rId108" Target="Bases/R&#233;glementation/ifts.et.contractuel.csv" TargetMode="External" /><Relationship Type="http://schemas.openxmlformats.org/officeDocument/2006/relationships/hyperlink" Id="rId117" Target="Bases/R&#233;glementation/ihts.anormales.csv" TargetMode="External" /><Relationship Type="http://schemas.openxmlformats.org/officeDocument/2006/relationships/hyperlink" Id="rId100" Target="Bases/R&#233;glementation/lignes.contractuels.et.vacations.csv" TargetMode="External" /><Relationship Type="http://schemas.openxmlformats.org/officeDocument/2006/relationships/hyperlink" Id="rId98" Target="Bases/R&#233;glementation/lignes.fonctionnaires.et.vacations.csv" TargetMode="External" /><Relationship Type="http://schemas.openxmlformats.org/officeDocument/2006/relationships/hyperlink" Id="rId109" Target="Bases/R&#233;glementation/lignes.ifts.anormales.csv" TargetMode="External" /><Relationship Type="http://schemas.openxmlformats.org/officeDocument/2006/relationships/hyperlink" Id="rId101" Target="Bases/R&#233;glementation/matricules.contractuels.et.vacations.csv" TargetMode="External" /><Relationship Type="http://schemas.openxmlformats.org/officeDocument/2006/relationships/hyperlink" Id="rId97" Target="Bases/R&#233;glementation/matricules.fonctionnaires.et.vacations.csv" TargetMode="External" /><Relationship Type="http://schemas.openxmlformats.org/officeDocument/2006/relationships/hyperlink" Id="rId106" Target="Bases/R&#233;glementation/personnels.iat.ifts.csv" TargetMode="External" /><Relationship Type="http://schemas.openxmlformats.org/officeDocument/2006/relationships/hyperlink" Id="rId111" Target="Bases/R&#233;glementation/personnels.pfr.ifts.csv" TargetMode="External" /><Relationship Type="http://schemas.openxmlformats.org/officeDocument/2006/relationships/hyperlink" Id="rId93" Target="Bases/R&#233;glementation/personnels.prime.informatique.csv" TargetMode="External" /><Relationship Type="http://schemas.openxmlformats.org/officeDocument/2006/relationships/hyperlink" Id="rId119" Target="Bases/R&#233;glementation/r&#233;mun&#233;rations.&#233;lu.csv" TargetMode="External" /><Relationship Type="http://schemas.openxmlformats.org/officeDocument/2006/relationships/hyperlink" Id="rId103" Target="Bases/R&#233;glementation/traitement.et.vacations.csv" TargetMode="External" /><Relationship Type="http://schemas.openxmlformats.org/officeDocument/2006/relationships/hyperlink" Id="rId69" Target="Bases/R&#233;mun&#233;rations/Analyse.r&#233;mun&#233;rations.csv" TargetMode="External" /><Relationship Type="http://schemas.openxmlformats.org/officeDocument/2006/relationships/hyperlink" Id="rId79" Target="Bases/R&#233;mun&#233;rations/Analyse.variations.par.exercice.csv" TargetMode="External" /><Relationship Type="http://schemas.openxmlformats.org/officeDocument/2006/relationships/hyperlink" Id="rId78" Target="Bases/R&#233;mun&#233;rations/Analyse.variations.synth&#232;se.csv" TargetMode="External" /><Relationship Type="http://schemas.openxmlformats.org/officeDocument/2006/relationships/hyperlink" Id="rId113" Target="Bases/R&#233;mun&#233;rations/b&#233;n&#233;ficiaires.PFR.Variation.csv" TargetMode="External" /><Relationship Type="http://schemas.openxmlformats.org/officeDocument/2006/relationships/hyperlink" Id="rId112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8" Target="http://infos.emploipublic.fr/dossiers/la-fonction-publique-en-chiffres/la-fonction-publique-en-chiffre-2013/non-defini-08/apm-71444/" TargetMode="External" /><Relationship Type="http://schemas.openxmlformats.org/officeDocument/2006/relationships/hyperlink" Id="rId89" Target="http://www.fonction-publique.gouv.fr/files/files/statistiques/jaunes/jaune2014_FP.pdf" TargetMode="External" /><Relationship Type="http://schemas.openxmlformats.org/officeDocument/2006/relationships/hyperlink" Id="rId72" Target="http://www.fonction-publique.gouv.fr/files/files/statistiques/rapports_annuels/2012-2013/xls/Vue3_1_Remunerations.xls" TargetMode="External" /><Relationship Type="http://schemas.openxmlformats.org/officeDocument/2006/relationships/hyperlink" Id="rId71" Target="http://www.insee.fr/fr/ffc/ipweb/ip1486/ip1486.xls" TargetMode="External" /><Relationship Type="http://schemas.openxmlformats.org/officeDocument/2006/relationships/hyperlink" Id="rId73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8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5" Target="Bases/Fiabilit&#233;/cumuls.nbi.csv" TargetMode="External" /><Relationship Type="http://schemas.openxmlformats.org/officeDocument/2006/relationships/hyperlink" Id="rId94" Target="Bases/Fiabilit&#233;/lignes.nbi.anormales.csv" TargetMode="External" /><Relationship Type="http://schemas.openxmlformats.org/officeDocument/2006/relationships/hyperlink" Id="rId116" Target="Bases/R&#233;glementation/D&#233;passement.seuil.180h.csv" TargetMode="External" /><Relationship Type="http://schemas.openxmlformats.org/officeDocument/2006/relationships/hyperlink" Id="rId115" Target="Bases/R&#233;glementation/HS.sup.25.csv" TargetMode="External" /><Relationship Type="http://schemas.openxmlformats.org/officeDocument/2006/relationships/hyperlink" Id="rId92" Target="Bases/R&#233;glementation/NBI.aux.non.titulaires.csv" TargetMode="External" /><Relationship Type="http://schemas.openxmlformats.org/officeDocument/2006/relationships/hyperlink" Id="rId124" Target="Bases/R&#233;glementation/Paie.sans.enfant.r&#233;duit.csv" TargetMode="External" /><Relationship Type="http://schemas.openxmlformats.org/officeDocument/2006/relationships/hyperlink" Id="rId102" Target="Bases/R&#233;glementation/RI.et.vacations.csv" TargetMode="External" /><Relationship Type="http://schemas.openxmlformats.org/officeDocument/2006/relationships/hyperlink" Id="rId105" Target="Bases/R&#233;glementation/codes.ifts.csv" TargetMode="External" /><Relationship Type="http://schemas.openxmlformats.org/officeDocument/2006/relationships/hyperlink" Id="rId125" Target="Bases/R&#233;glementation/controle.sft.csv" TargetMode="External" /><Relationship Type="http://schemas.openxmlformats.org/officeDocument/2006/relationships/hyperlink" Id="rId121" Target="Bases/R&#233;glementation/cumul.lignes.paie.csv" TargetMode="External" /><Relationship Type="http://schemas.openxmlformats.org/officeDocument/2006/relationships/hyperlink" Id="rId122" Target="Bases/R&#233;glementation/cumul.total.lignes.paie.csv" TargetMode="External" /><Relationship Type="http://schemas.openxmlformats.org/officeDocument/2006/relationships/hyperlink" Id="rId108" Target="Bases/R&#233;glementation/ifts.et.contractuel.csv" TargetMode="External" /><Relationship Type="http://schemas.openxmlformats.org/officeDocument/2006/relationships/hyperlink" Id="rId117" Target="Bases/R&#233;glementation/ihts.anormales.csv" TargetMode="External" /><Relationship Type="http://schemas.openxmlformats.org/officeDocument/2006/relationships/hyperlink" Id="rId100" Target="Bases/R&#233;glementation/lignes.contractuels.et.vacations.csv" TargetMode="External" /><Relationship Type="http://schemas.openxmlformats.org/officeDocument/2006/relationships/hyperlink" Id="rId98" Target="Bases/R&#233;glementation/lignes.fonctionnaires.et.vacations.csv" TargetMode="External" /><Relationship Type="http://schemas.openxmlformats.org/officeDocument/2006/relationships/hyperlink" Id="rId109" Target="Bases/R&#233;glementation/lignes.ifts.anormales.csv" TargetMode="External" /><Relationship Type="http://schemas.openxmlformats.org/officeDocument/2006/relationships/hyperlink" Id="rId101" Target="Bases/R&#233;glementation/matricules.contractuels.et.vacations.csv" TargetMode="External" /><Relationship Type="http://schemas.openxmlformats.org/officeDocument/2006/relationships/hyperlink" Id="rId97" Target="Bases/R&#233;glementation/matricules.fonctionnaires.et.vacations.csv" TargetMode="External" /><Relationship Type="http://schemas.openxmlformats.org/officeDocument/2006/relationships/hyperlink" Id="rId106" Target="Bases/R&#233;glementation/personnels.iat.ifts.csv" TargetMode="External" /><Relationship Type="http://schemas.openxmlformats.org/officeDocument/2006/relationships/hyperlink" Id="rId111" Target="Bases/R&#233;glementation/personnels.pfr.ifts.csv" TargetMode="External" /><Relationship Type="http://schemas.openxmlformats.org/officeDocument/2006/relationships/hyperlink" Id="rId93" Target="Bases/R&#233;glementation/personnels.prime.informatique.csv" TargetMode="External" /><Relationship Type="http://schemas.openxmlformats.org/officeDocument/2006/relationships/hyperlink" Id="rId119" Target="Bases/R&#233;glementation/r&#233;mun&#233;rations.&#233;lu.csv" TargetMode="External" /><Relationship Type="http://schemas.openxmlformats.org/officeDocument/2006/relationships/hyperlink" Id="rId103" Target="Bases/R&#233;glementation/traitement.et.vacations.csv" TargetMode="External" /><Relationship Type="http://schemas.openxmlformats.org/officeDocument/2006/relationships/hyperlink" Id="rId69" Target="Bases/R&#233;mun&#233;rations/Analyse.r&#233;mun&#233;rations.csv" TargetMode="External" /><Relationship Type="http://schemas.openxmlformats.org/officeDocument/2006/relationships/hyperlink" Id="rId79" Target="Bases/R&#233;mun&#233;rations/Analyse.variations.par.exercice.csv" TargetMode="External" /><Relationship Type="http://schemas.openxmlformats.org/officeDocument/2006/relationships/hyperlink" Id="rId78" Target="Bases/R&#233;mun&#233;rations/Analyse.variations.synth&#232;se.csv" TargetMode="External" /><Relationship Type="http://schemas.openxmlformats.org/officeDocument/2006/relationships/hyperlink" Id="rId113" Target="Bases/R&#233;mun&#233;rations/b&#233;n&#233;ficiaires.PFR.Variation.csv" TargetMode="External" /><Relationship Type="http://schemas.openxmlformats.org/officeDocument/2006/relationships/hyperlink" Id="rId112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8" Target="http://infos.emploipublic.fr/dossiers/la-fonction-publique-en-chiffres/la-fonction-publique-en-chiffre-2013/non-defini-08/apm-71444/" TargetMode="External" /><Relationship Type="http://schemas.openxmlformats.org/officeDocument/2006/relationships/hyperlink" Id="rId89" Target="http://www.fonction-publique.gouv.fr/files/files/statistiques/jaunes/jaune2014_FP.pdf" TargetMode="External" /><Relationship Type="http://schemas.openxmlformats.org/officeDocument/2006/relationships/hyperlink" Id="rId72" Target="http://www.fonction-publique.gouv.fr/files/files/statistiques/rapports_annuels/2012-2013/xls/Vue3_1_Remunerations.xls" TargetMode="External" /><Relationship Type="http://schemas.openxmlformats.org/officeDocument/2006/relationships/hyperlink" Id="rId71" Target="http://www.insee.fr/fr/ffc/ipweb/ip1486/ip1486.xls" TargetMode="External" /><Relationship Type="http://schemas.openxmlformats.org/officeDocument/2006/relationships/hyperlink" Id="rId73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