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Snoopy-RAG V3 Alpha — Alinhamento Técnico Pós-Inspeção</w:t>
      </w:r>
    </w:p>
    <w:p>
      <w:r>
        <w:rPr>
          <w:b/>
        </w:rPr>
        <w:t xml:space="preserve">Destinatário: </w:t>
      </w:r>
      <w:r>
        <w:t>Executor da implementação (Gemini)</w:t>
      </w:r>
    </w:p>
    <w:p>
      <w:r>
        <w:rPr>
          <w:b/>
        </w:rPr>
        <w:t xml:space="preserve">Finalidade: </w:t>
      </w:r>
      <w:r>
        <w:t>Alinhar a implementação atual da branch dev com D.1–D.9 antes de avançar para novas fases.</w:t>
      </w:r>
    </w:p>
    <w:p>
      <w:pPr>
        <w:pStyle w:val="Heading1"/>
      </w:pPr>
      <w:r>
        <w:t>1. Contexto</w:t>
      </w:r>
    </w:p>
    <w:p>
      <w:r>
        <w:t>A implementação atual ainda está em desenvolvimento. Este documento não trata o estado presente como Alpha concluída, nem propõe recomeçar o trabalho. A fundação V3 já criada é aproveitável. O objetivo é impedir que alguns desvios iniciais se transformem em decisões estruturais difíceis de reverter.</w:t>
      </w:r>
    </w:p>
    <w:p>
      <w:r>
        <w:t>A regra central continua sendo a do contrato D.9: o executor pode decidir como implementar aquilo que foi decidido, mas não deve decidir novamente, de forma implícita, aquilo que já foi estabelecido em D.1–D.8.</w:t>
      </w:r>
    </w:p>
    <w:p>
      <w:pPr>
        <w:pStyle w:val="Heading1"/>
      </w:pPr>
      <w:r>
        <w:t>2. Diagnóstico geral</w:t>
      </w:r>
    </w:p>
    <w:p>
      <w:r>
        <w:t>A estrutura atual demonstra que a arquitetura V3 foi compreendida em boa parte: há separação entre domain/application/infrastructure/api e existem conceitos como DocumentRepresentation, RetrievalUnit, Investigation, RetrievalResult, Evidence, Operation e StructuredResponse.</w:t>
      </w:r>
    </w:p>
    <w:p>
      <w:r>
        <w:t>O principal problema não é a direção arquitetural. É que algumas fronteiras foram materializadas nominalmente antes de seus contratos e invariantes estarem efetivamente implementados. Nomes V3 não são, por si só, prova de comportamento V3.</w:t>
      </w:r>
    </w:p>
    <w:p>
      <w:pPr>
        <w:pStyle w:val="Heading2"/>
      </w:pPr>
      <w:r>
        <w:t>3.1 RetrievalUnit não pode ser apenas um alias conceitual de chunks</w:t>
      </w:r>
    </w:p>
    <w:p>
      <w:r>
        <w:t>A aplicação introduziu RetrievalUnit, mas a persistência continua usando a tabela chunks e o representation_id não está sendo preservado no payload observado. Isso pode ser uma adaptação temporária, mas precisa ser explicitamente compatível com o modelo V3. O vínculo unit_id → representation_id → document_id → location deve ser reconstruível.</w:t>
      </w:r>
    </w:p>
    <w:p>
      <w:pPr>
        <w:pStyle w:val="Heading2"/>
      </w:pPr>
      <w:r>
        <w:t>3.2 DocumentRepresentation precisa sobreviver ao processamento</w:t>
      </w:r>
    </w:p>
    <w:p>
      <w:r>
        <w:t>O DocumentProcessor produz uma representação estruturada, mas o fluxo observado a utiliza para segmentar sem garantir sua persistência como estado lógico. DocumentRepresentation não é mero objeto intermediário: deve poder ser recuperada e servir de base para localização e rastreabilidade.</w:t>
      </w:r>
    </w:p>
    <w:p>
      <w:pPr>
        <w:pStyle w:val="Heading2"/>
      </w:pPr>
      <w:r>
        <w:t>3.3 Publicação precisa ser coerente, não apenas adiar ACTIVE</w:t>
      </w:r>
    </w:p>
    <w:p>
      <w:r>
        <w:t>Não basta evitar marcar o documento como ACTIVE cedo demais. Se unidades, embeddings ou índices forem persistidos parcialmente e uma etapa posterior falhar, o sistema não deve deixar estado derivado incoerente. Defina transação, staging, rollback ou estratégia equivalente. A implementação concreta é livre; o invariante não.</w:t>
      </w:r>
    </w:p>
    <w:p>
      <w:pPr>
        <w:pStyle w:val="Heading2"/>
      </w:pPr>
      <w:r>
        <w:t>3.4 O índice lexical precisa realmente participar da recuperação</w:t>
      </w:r>
    </w:p>
    <w:p>
      <w:r>
        <w:t>A arquitetura exige recuperação híbrida lexical + semântica. Criar suporte para FTS não é suficiente: o caminho de persistência precisa preencher o índice lexical e a consulta precisa produzir candidatos reais.</w:t>
      </w:r>
    </w:p>
    <w:p>
      <w:pPr>
        <w:pStyle w:val="Heading2"/>
      </w:pPr>
      <w:r>
        <w:t>3.5 Contrato RPC ↔ RetrievalService precisa ser consistente</w:t>
      </w:r>
    </w:p>
    <w:p>
      <w:r>
        <w:t>A camada SQL observada retorna semantic_score e lexical_score, enquanto a aplicação espera campos diferentes, como rank e similarity. Reconciliar o contrato é obrigatório antes de considerar o RetrievalService funcional.</w:t>
      </w:r>
    </w:p>
    <w:p>
      <w:pPr>
        <w:pStyle w:val="Heading2"/>
      </w:pPr>
      <w:r>
        <w:t>3.6 Hybrid Retrieval precisa materializar a cadeia V3</w:t>
      </w:r>
    </w:p>
    <w:p>
      <w:r>
        <w:t>O fluxo definido é: filtros → corpus ACTIVE → lexical + semantic → fusion → dedup → contextualização → reranking → selection → RetrievalResult. As tecnologias concretas de fusion e reranking podem permanecer abertas, mas a cadeia e suas fronteiras precisam existir.</w:t>
      </w:r>
    </w:p>
    <w:p>
      <w:pPr>
        <w:pStyle w:val="Heading2"/>
      </w:pPr>
      <w:r>
        <w:t>3.7 Filtros da Investigation precisam permanecer filtros estruturados</w:t>
      </w:r>
    </w:p>
    <w:p>
      <w:r>
        <w:t>Original query e filtros são conceitos distintos. Não reduzir filtros a um parâmetro operacional legado, como folder_id, sem preservar o contrato de Investigation.</w:t>
      </w:r>
    </w:p>
    <w:p>
      <w:pPr>
        <w:pStyle w:val="Heading2"/>
      </w:pPr>
      <w:r>
        <w:t>3.8 Operation precisa representar execução real</w:t>
      </w:r>
    </w:p>
    <w:p>
      <w:r>
        <w:t>A entidade Operation existe, mas precisa estar ligada ao ciclo assíncrono real: criação → execução → estado terminal. Não transformar jobs em Operation apenas por renomeação. Queue/worker e Operation são mecanismos diferentes, embora relacionados.</w:t>
      </w:r>
    </w:p>
    <w:p>
      <w:pPr>
        <w:pStyle w:val="Heading2"/>
      </w:pPr>
      <w:r>
        <w:t>3.9 Evidence precisa ser persistível e reabrível</w:t>
      </w:r>
    </w:p>
    <w:p>
      <w:r>
        <w:t>Evidence é entidade estável. Dado um evidence_id, o backend deve conseguir reconstruir unidade, documento, localização, contexto e proveniência sem depender do estado efêmero do frontend.</w:t>
      </w:r>
    </w:p>
    <w:p>
      <w:pPr>
        <w:pStyle w:val="Heading2"/>
      </w:pPr>
      <w:r>
        <w:t>3.10 RetrievalResult precisa ser recuperável quando fizer parte do estado da Investigation</w:t>
      </w:r>
    </w:p>
    <w:p>
      <w:r>
        <w:t>Não tratar resultados apenas como lista descartável da requisição. A Investigation deve conservar informação suficiente para ser recuperada por investigation_id.</w:t>
      </w:r>
    </w:p>
    <w:p>
      <w:pPr>
        <w:pStyle w:val="Heading2"/>
      </w:pPr>
      <w:r>
        <w:t>3.11 StructuredResponse precisa ser recuperável/reconstruível</w:t>
      </w:r>
    </w:p>
    <w:p>
      <w:r>
        <w:t>StructuredResponse é representação semântica da resposta, não apenas retorno transitório do LLM. A persistência física pode ser decidida pela implementação, mas a Investigation deve conseguir recuperar ou reconstruir o estado necessário sem depender de SSE ou da resposta HTTP original.</w:t>
      </w:r>
    </w:p>
    <w:p>
      <w:pPr>
        <w:pStyle w:val="Heading2"/>
      </w:pPr>
      <w:r>
        <w:t>3.12 API deve convergir para o contrato D.5</w:t>
      </w:r>
    </w:p>
    <w:p>
      <w:r>
        <w:t>O contrato separa Investigation, Operation, Evidence, Reading/Source e Corpus. Endpoints agregadores podem existir, mas não devem reintroduzir um endpoint monolítico que esconda todo o fluxo V3. A semântica mínima de D.5 deve permanecer preservada.</w:t>
      </w:r>
    </w:p>
    <w:p>
      <w:pPr>
        <w:pStyle w:val="Heading2"/>
      </w:pPr>
      <w:r>
        <w:t>3.13 Autenticação não pode depender de user_id fornecido pelo cliente</w:t>
      </w:r>
    </w:p>
    <w:p>
      <w:r>
        <w:t>O backend deve obter a identidade autenticada e realizar autorização sobre os recursos. user_id enviado pelo frontend não pode ser tratado como prova de identidade. RLS é defesa em profundidade, não substituto da autorização backend.</w:t>
      </w:r>
    </w:p>
    <w:p>
      <w:pPr>
        <w:pStyle w:val="Heading2"/>
      </w:pPr>
      <w:r>
        <w:t>3.14 Remover atalhos de mock do fluxo real</w:t>
      </w:r>
    </w:p>
    <w:p>
      <w:r>
        <w:t>Um fallback que cria um PDF falso quando o artefato real não existe é aceitável somente em teste explicitamente isolado. O vertical slice D.8 exige documento real atravessando Drive → Document → Representation → Units → Index → ACTIVE.</w:t>
      </w:r>
    </w:p>
    <w:p>
      <w:pPr>
        <w:pStyle w:val="Heading2"/>
      </w:pPr>
      <w:r>
        <w:t>3.15 SSE ainda precisa ser integrado como canal de atualização</w:t>
      </w:r>
    </w:p>
    <w:p>
      <w:r>
        <w:t>SSE não é fonte de verdade. O fluxo correto é: comando → operation_id → evento SSE → GET/revalidação → estado confirmado. Perda da conexão não significa falha da operação.</w:t>
      </w:r>
    </w:p>
    <w:p>
      <w:pPr>
        <w:pStyle w:val="Heading1"/>
      </w:pPr>
      <w:r>
        <w:t>4. O que NÃO deve ser feito agora</w:t>
      </w:r>
    </w:p>
    <w:p>
      <w:pPr>
        <w:pStyle w:val="ListBullet"/>
      </w:pPr>
      <w:r>
        <w:t>Não apagar indiscriminadamente server.js, src/ ou ui/. Eles continuam sendo referência e substrato de migração até que a substituição esteja demonstrada.</w:t>
      </w:r>
    </w:p>
    <w:p>
      <w:pPr>
        <w:pStyle w:val="ListBullet"/>
      </w:pPr>
      <w:r>
        <w:t>Não criar microserviços para resolver problemas que pertencem às fronteiras internas da aplicação.</w:t>
      </w:r>
    </w:p>
    <w:p>
      <w:pPr>
        <w:pStyle w:val="ListBullet"/>
      </w:pPr>
      <w:r>
        <w:t>Não transformar Markdown em representação canônica novamente.</w:t>
      </w:r>
    </w:p>
    <w:p>
      <w:pPr>
        <w:pStyle w:val="ListBullet"/>
      </w:pPr>
      <w:r>
        <w:t>Não tratar chunks como unidade conceitual apenas porque a tabela V2 ainda existe.</w:t>
      </w:r>
    </w:p>
    <w:p>
      <w:pPr>
        <w:pStyle w:val="ListBullet"/>
      </w:pPr>
      <w:r>
        <w:t>Não transformar Operation em simples renomeação de jobs.</w:t>
      </w:r>
    </w:p>
    <w:p>
      <w:pPr>
        <w:pStyle w:val="ListBullet"/>
      </w:pPr>
      <w:r>
        <w:t>Não considerar SSE como estado autoritativo.</w:t>
      </w:r>
    </w:p>
    <w:p>
      <w:pPr>
        <w:pStyle w:val="ListBullet"/>
      </w:pPr>
      <w:r>
        <w:t>Não declarar a Alpha concluída porque classes, tabelas ou módulos existem.</w:t>
      </w:r>
    </w:p>
    <w:p>
      <w:pPr>
        <w:pStyle w:val="ListBullet"/>
      </w:pPr>
      <w:r>
        <w:t>Não adicionar capacidades explicitamente pós-Alpha.</w:t>
      </w:r>
    </w:p>
    <w:p>
      <w:pPr>
        <w:pStyle w:val="Heading1"/>
      </w:pPr>
      <w:r>
        <w:t>5. Ordem recomendada de correção</w:t>
      </w:r>
    </w:p>
    <w:p>
      <w:pPr>
        <w:pStyle w:val="ListNumber"/>
      </w:pPr>
      <w:r>
        <w:t>Garantir persistência e rastreabilidade de DocumentRepresentation e RetrievalUnit.</w:t>
      </w:r>
    </w:p>
    <w:p>
      <w:pPr>
        <w:pStyle w:val="ListNumber"/>
      </w:pPr>
      <w:r>
        <w:t>Corrigir o modelo físico para que unit_id, representation_id, document_id e location sejam reconstruíveis.</w:t>
      </w:r>
    </w:p>
    <w:p>
      <w:pPr>
        <w:pStyle w:val="ListNumber"/>
      </w:pPr>
      <w:r>
        <w:t>Garantir publicação coerente e impedir resíduos de processamento parcial.</w:t>
      </w:r>
    </w:p>
    <w:p>
      <w:pPr>
        <w:pStyle w:val="ListNumber"/>
      </w:pPr>
      <w:r>
        <w:t>Fazer lexical + semantic retrieval realmente funcionar e alinhar contratos SQL/Python.</w:t>
      </w:r>
    </w:p>
    <w:p>
      <w:pPr>
        <w:pStyle w:val="ListNumber"/>
      </w:pPr>
      <w:r>
        <w:t>Materializar a cadeia Hybrid Retrieval até RetrievalResult.</w:t>
      </w:r>
    </w:p>
    <w:p>
      <w:pPr>
        <w:pStyle w:val="ListNumber"/>
      </w:pPr>
      <w:r>
        <w:t>Persistir/reconstruir Investigation, RetrievalResult, Evidence e StructuredResponse.</w:t>
      </w:r>
    </w:p>
    <w:p>
      <w:pPr>
        <w:pStyle w:val="ListNumber"/>
      </w:pPr>
      <w:r>
        <w:t>Corrigir autenticação/autorização e remover mocks do caminho real.</w:t>
      </w:r>
    </w:p>
    <w:p>
      <w:pPr>
        <w:pStyle w:val="ListNumber"/>
      </w:pPr>
      <w:r>
        <w:t>Materializar Operation + Queue/Worker e os estados assíncronos.</w:t>
      </w:r>
    </w:p>
    <w:p>
      <w:pPr>
        <w:pStyle w:val="ListNumber"/>
      </w:pPr>
      <w:r>
        <w:t>Convergir a API para D.5.</w:t>
      </w:r>
    </w:p>
    <w:p>
      <w:pPr>
        <w:pStyle w:val="ListNumber"/>
      </w:pPr>
      <w:r>
        <w:t>Integrar SSE como canal de atualização com refetch/revalidation.</w:t>
      </w:r>
    </w:p>
    <w:p>
      <w:pPr>
        <w:pStyle w:val="ListNumber"/>
      </w:pPr>
      <w:r>
        <w:t>Só então avançar para Vue 3 + TypeScript, Renderer e integração das superfícies.</w:t>
      </w:r>
    </w:p>
    <w:p>
      <w:pPr>
        <w:pStyle w:val="ListNumber"/>
      </w:pPr>
      <w:r>
        <w:t>Fechar com o vertical slice D.8 e os testes de invariantes.</w:t>
      </w:r>
    </w:p>
    <w:p>
      <w:pPr>
        <w:pStyle w:val="Heading1"/>
      </w:pPr>
      <w:r>
        <w:t>6. Critério de decisão para o executor</w:t>
      </w:r>
    </w:p>
    <w:p>
      <w:r>
        <w:t>Quando houver uma escolha ainda não determinada por D.1–D.9, escolha a solução local mais simples que preserve os contratos. Quando uma escolha alterar entidade, estado, fronteira, fluxo, segurança ou escopo da Alpha, não a faça silenciosamente: registre o conflito e solicite alinhamento.</w:t>
      </w:r>
    </w:p>
    <w:p>
      <w:r>
        <w:t>Uma implementação temporária é aceitável quando sua natureza temporária é explícita e quando não quebra os invariantes V3. Uma adaptação V2 deixa de ser aceitável quando passa a ditar a semântica do V3.</w:t>
      </w:r>
    </w:p>
    <w:p>
      <w:pPr>
        <w:pStyle w:val="Heading1"/>
      </w:pPr>
      <w:r>
        <w:t>7. Estado atual e interpretação correta</w:t>
      </w:r>
    </w:p>
    <w:p>
      <w:r>
        <w:t>O estado atual deve ser tratado como uma fundação V3 em desenvolvimento. Há trabalho válido e reaproveitável; não há motivo para reiniciar do zero. Ao mesmo tempo, os pontos acima são blockers arquiteturais se permanecerem sem correção, porque podem fazer a implementação convergir para uma V2 rebatizada em vez de uma V3 funcional.</w:t>
      </w:r>
    </w:p>
    <w:p>
      <w:r>
        <w:t>O objetivo não é implementar tudo imediatamente. É corrigir primeiro os contratos que, se deixados errados, contaminariam as fases seguintes.</w:t>
      </w:r>
    </w:p>
    <w:p>
      <w:pPr>
        <w:pStyle w:val="Heading1"/>
      </w:pPr>
      <w:r>
        <w:t>8. Regra final</w:t>
      </w:r>
    </w:p>
    <w:p>
      <w:r>
        <w:t>Este documento não é uma nova arquitetura. É uma revisão de alinhamento da implementação atual com decisões já tomadas em D.1–D.9.</w:t>
      </w:r>
    </w:p>
    <w:p>
      <w:r>
        <w:t>Para cada alteração, pergunte: “Isto materializa o contrato V3 ou apenas muda o nome/posição de uma estrutura V2?” Se for a segunda hipótese, corrija a fronteira antes de avançar.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